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1100"/>
      </w:pPr>
      <w:r>
        <w:rPr>
          <w:rFonts w:ascii="Times New Roman" w:hAnsi="Times New Roman"/>
          <w:b/>
          <w:color w:val="000000"/>
          <w:sz w:val="44"/>
        </w:rPr>
        <w:t>Occupational Sun Exposure and the Historical Under-Recognition of Skin Cancer Among Cricket Athletes (1880-2025)</w:t>
      </w:r>
    </w:p>
    <w:p>
      <w:pPr>
        <w:jc w:val="center"/>
      </w:pPr>
      <w:r>
        <w:rPr>
          <w:rFonts w:ascii="Times New Roman" w:hAnsi="Times New Roman"/>
          <w:sz w:val="22"/>
        </w:rPr>
        <w:t>(A research paper by Reeva Chopra)</w:t>
      </w:r>
    </w:p>
    <w:p>
      <w:r>
        <w:rPr>
          <w:rFonts w:ascii="Times New Roman" w:hAnsi="Times New Roman"/>
          <w:sz w:val="22"/>
        </w:rPr>
        <w:br w:type="page"/>
      </w:r>
    </w:p>
    <w:p>
      <w:pPr>
        <w:pStyle w:val="Title"/>
        <w:keepNext w:val="0"/>
        <w:widowControl/>
        <w:spacing w:after="140"/>
      </w:pPr>
      <w:r>
        <w:rPr>
          <w:rFonts w:ascii="Times New Roman" w:hAnsi="Times New Roman"/>
          <w:sz w:val="44"/>
        </w:rPr>
        <w:t>Outline</w:t>
      </w:r>
    </w:p>
    <w:p>
      <w:pPr>
        <w:keepNext w:val="0"/>
        <w:widowControl/>
        <w:spacing w:after="140"/>
      </w:pPr>
      <w:r>
        <w:rPr>
          <w:rFonts w:ascii="Times New Roman" w:hAnsi="Times New Roman"/>
          <w:sz w:val="22"/>
        </w:rPr>
        <w:t>Abstract and introduction</w:t>
      </w:r>
    </w:p>
    <w:p>
      <w:pPr>
        <w:keepNext w:val="0"/>
        <w:widowControl/>
        <w:spacing w:after="140"/>
      </w:pPr>
      <w:r>
        <w:rPr>
          <w:rFonts w:ascii="Times New Roman" w:hAnsi="Times New Roman"/>
          <w:sz w:val="22"/>
        </w:rPr>
        <w:t>Historical methods and colonial medicine</w:t>
      </w:r>
    </w:p>
    <w:p>
      <w:pPr>
        <w:keepNext w:val="0"/>
        <w:widowControl/>
        <w:spacing w:after="140"/>
      </w:pPr>
      <w:r>
        <w:rPr>
          <w:rFonts w:ascii="Times New Roman" w:hAnsi="Times New Roman"/>
          <w:sz w:val="22"/>
        </w:rPr>
        <w:t>Interwar and post independence contexts</w:t>
      </w:r>
    </w:p>
    <w:p>
      <w:pPr>
        <w:keepNext w:val="0"/>
        <w:widowControl/>
        <w:spacing w:after="140"/>
      </w:pPr>
      <w:r>
        <w:rPr>
          <w:rFonts w:ascii="Times New Roman" w:hAnsi="Times New Roman"/>
          <w:sz w:val="22"/>
        </w:rPr>
        <w:t>Visibility and biological context</w:t>
      </w:r>
    </w:p>
    <w:p>
      <w:pPr>
        <w:keepNext w:val="0"/>
        <w:widowControl/>
        <w:spacing w:after="140"/>
      </w:pPr>
      <w:r>
        <w:rPr>
          <w:rFonts w:ascii="Times New Roman" w:hAnsi="Times New Roman"/>
          <w:sz w:val="22"/>
        </w:rPr>
        <w:t>Contemporary field study</w:t>
      </w:r>
    </w:p>
    <w:p>
      <w:pPr>
        <w:keepNext w:val="0"/>
        <w:widowControl/>
        <w:spacing w:after="140"/>
      </w:pPr>
      <w:r>
        <w:rPr>
          <w:rFonts w:ascii="Times New Roman" w:hAnsi="Times New Roman"/>
          <w:sz w:val="22"/>
        </w:rPr>
        <w:t>Interpretation and policy implications</w:t>
      </w:r>
    </w:p>
    <w:p>
      <w:pPr>
        <w:keepNext w:val="0"/>
        <w:widowControl/>
        <w:spacing w:after="140"/>
      </w:pPr>
      <w:r>
        <w:rPr>
          <w:rFonts w:ascii="Times New Roman" w:hAnsi="Times New Roman"/>
          <w:sz w:val="22"/>
        </w:rPr>
        <w:t>The social definition of sporting injury</w:t>
      </w:r>
    </w:p>
    <w:p>
      <w:pPr>
        <w:keepNext w:val="0"/>
        <w:widowControl/>
        <w:spacing w:after="140"/>
      </w:pPr>
      <w:r>
        <w:rPr>
          <w:rFonts w:ascii="Times New Roman" w:hAnsi="Times New Roman"/>
          <w:sz w:val="22"/>
        </w:rPr>
        <w:t>Match schedules and the organization of exposure</w:t>
      </w:r>
    </w:p>
    <w:p>
      <w:pPr>
        <w:keepNext w:val="0"/>
        <w:widowControl/>
        <w:spacing w:after="140"/>
      </w:pPr>
      <w:r>
        <w:rPr>
          <w:rFonts w:ascii="Times New Roman" w:hAnsi="Times New Roman"/>
          <w:sz w:val="22"/>
        </w:rPr>
        <w:t>The athletic body and the power to seek protection</w:t>
      </w:r>
    </w:p>
    <w:p>
      <w:pPr>
        <w:keepNext w:val="0"/>
        <w:widowControl/>
        <w:spacing w:after="140"/>
      </w:pPr>
      <w:r>
        <w:rPr>
          <w:rFonts w:ascii="Times New Roman" w:hAnsi="Times New Roman"/>
          <w:sz w:val="22"/>
        </w:rPr>
        <w:t>Reading Findlay through a sociological question</w:t>
      </w:r>
    </w:p>
    <w:p>
      <w:pPr>
        <w:keepNext w:val="0"/>
        <w:widowControl/>
        <w:spacing w:after="140"/>
      </w:pPr>
      <w:r>
        <w:rPr>
          <w:rFonts w:ascii="Times New Roman" w:hAnsi="Times New Roman"/>
          <w:sz w:val="22"/>
        </w:rPr>
        <w:t>A proposed pathway and limitations</w:t>
      </w:r>
    </w:p>
    <w:p>
      <w:pPr>
        <w:keepNext w:val="0"/>
        <w:widowControl/>
        <w:spacing w:after="140"/>
      </w:pPr>
      <w:r>
        <w:rPr>
          <w:rFonts w:ascii="Times New Roman" w:hAnsi="Times New Roman"/>
          <w:sz w:val="22"/>
        </w:rPr>
        <w:t>References</w:t>
      </w:r>
    </w:p>
    <w:p>
      <w:r>
        <w:rPr>
          <w:rFonts w:ascii="Times New Roman" w:hAnsi="Times New Roman"/>
          <w:sz w:val="22"/>
        </w:rPr>
        <w:br w:type="page"/>
      </w:r>
    </w:p>
    <w:p w14:paraId="249692AF" w14:textId="77777777" w:rsidR="00ED1981" w:rsidRPr="00EF6DA5" w:rsidRDefault="00ED1981" w:rsidP="00ED1981">
      <w:pPr>
        <w:pStyle w:val="Heading1"/>
        <w:keepNext/>
        <w:keepLines w:val="0"/>
        <w:pageBreakBefore w:val="0"/>
        <w:widowControl/>
        <w:spacing w:before="240" w:after="140" w:line="252" w:lineRule="auto"/>
        <w:jc w:val="left"/>
        <w:rPr>
          <w:b/>
          <w:bCs/>
          <w:sz w:val="28"/>
          <w:szCs w:val="28"/>
        </w:rPr>
      </w:pPr>
      <w:r w:rsidRPr="00EF6DA5">
        <w:rPr>
          <w:rFonts w:ascii="Times New Roman" w:hAnsi="Times New Roman"/>
          <w:b/>
          <w:bCs/>
          <w:color w:val="000000"/>
          <w:sz w:val="22"/>
          <w:szCs w:val="28"/>
        </w:rPr>
        <w:t xml:space="preserve">Abstract </w:t>
      </w:r>
    </w:p>
    <w:p w14:paraId="3F86183F"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This paper aims to examine the long-neglected relationship between occupational sun exposure and skin cancer in cricket, and it aims to integrate historical source analysis with field-based epidemiological data from 1880 to 2025. Cricket, which is an outdoor profession and demands prolonged exposure to ultraviolet radiation, has rarely been recognized as an occupational cancer risk. This paper has drawn on colonial medical archives as well as post-independence policy documents and even a small field study of 78 players and coaches and Amritsar and this research history how the healthy sun ideology has shaped scientific blindness that still is prevalent in public health today the findings of this research show that the cultural ideals of endurance and masculinity systematically mastered biological vulnerability and the mixed methods pilot identifies early evidence of actinic keratosis in active players and supports three classifying athletes under occupational exposure framework. This study also concludes that cancer prevention requires biomedical innovation and historical literacy because it is the ability to recognize how past moral frameworks still continue to help us understand modern disease recognition. </w:t>
      </w:r>
    </w:p>
    <w:p w14:paraId="0866D4F2" w14:textId="77777777" w:rsidR="00ED1981" w:rsidRPr="00F40637" w:rsidRDefault="00ED1981" w:rsidP="00ED1981">
      <w:pPr>
        <w:pStyle w:val="Heading1"/>
        <w:keepNext/>
        <w:keepLines w:val="0"/>
        <w:pageBreakBefore w:val="0"/>
        <w:widowControl/>
        <w:spacing w:before="240" w:after="140" w:line="252" w:lineRule="auto"/>
        <w:jc w:val="left"/>
        <w:rPr>
          <w:b/>
          <w:bCs/>
          <w:sz w:val="28"/>
          <w:szCs w:val="28"/>
        </w:rPr>
      </w:pPr>
      <w:r w:rsidRPr="00F40637">
        <w:rPr>
          <w:rFonts w:ascii="Times New Roman" w:hAnsi="Times New Roman"/>
          <w:b/>
          <w:bCs/>
          <w:color w:val="000000"/>
          <w:sz w:val="22"/>
          <w:szCs w:val="28"/>
        </w:rPr>
        <w:t xml:space="preserve">Introduction  </w:t>
      </w:r>
    </w:p>
    <w:p w14:paraId="6C03FD1C"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It is true that every occupation carries some risk, but dangers like skin cancer, especially in sports, are invisible because culture deemed them virtuous and for more than a century, sunlight has symbolized health as well as moral discipline, especially in a country like India. Cricket has embodied that symbolism of sunlight and has rendered UV damage and honourable exposure instead of an actual health hazard. The problem is that cricket simultaneously produces and conceals the biological conditions for skin cancer. While industrial workers have gained protective legislation after visible occupational cancers, athletes still remain outside the category of workers completely, and this study investigates using historical methods like source criticism, contextualization, analysis of continuity and change, and source analysis supplements them with a contemporary epidemiological pilot among current cricketers in Punjab. </w:t>
      </w:r>
    </w:p>
    <w:p w14:paraId="017D45F4"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Personal experience grounds this enquiry, caring for my grandfather during his battle with cancer exposed how late recognition often results from historical neglect that experience has shaped the central question of this paper, that why sunlight, despite being a scientifically researched carcinogen, remains medically invisible in sports culture for more than a century. </w:t>
      </w:r>
    </w:p>
    <w:p>
      <w:r>
        <w:rPr>
          <w:rFonts w:ascii="Times New Roman" w:hAnsi="Times New Roman"/>
          <w:sz w:val="22"/>
        </w:rPr>
        <w:br w:type="page"/>
      </w:r>
    </w:p>
    <w:p w14:paraId="6EF66A96" w14:textId="77777777" w:rsidR="00ED1981" w:rsidRPr="00F40637" w:rsidRDefault="00ED1981" w:rsidP="00ED1981">
      <w:pPr>
        <w:pStyle w:val="Heading1"/>
        <w:keepNext/>
        <w:keepLines w:val="0"/>
        <w:pageBreakBefore w:val="0"/>
        <w:widowControl/>
        <w:spacing w:before="240" w:after="140" w:line="252" w:lineRule="auto"/>
        <w:jc w:val="left"/>
        <w:rPr>
          <w:b/>
          <w:bCs/>
          <w:sz w:val="28"/>
          <w:szCs w:val="28"/>
        </w:rPr>
      </w:pPr>
      <w:r w:rsidRPr="00F40637">
        <w:rPr>
          <w:rFonts w:ascii="Times New Roman" w:hAnsi="Times New Roman"/>
          <w:b/>
          <w:bCs/>
          <w:color w:val="000000"/>
          <w:sz w:val="22"/>
          <w:szCs w:val="28"/>
        </w:rPr>
        <w:t xml:space="preserve">Historical Methods: </w:t>
      </w:r>
    </w:p>
    <w:p w14:paraId="7E63E8FC"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This study has applied four core techniques of historical research </w:t>
      </w:r>
    </w:p>
    <w:p w14:paraId="59EE0C59"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1.</w:t>
      </w:r>
      <w:r>
        <w:rPr>
          <w:rFonts w:ascii="Times New Roman" w:hAnsi="Times New Roman"/>
          <w:color w:val="000000"/>
          <w:sz w:val="22"/>
        </w:rPr>
        <w:tab/>
        <w:t xml:space="preserve">A close reading of the Indian Medical Gazette, 1886 to 1939, which includes colonial army health reports and early sports medicine manuals to reconstruct medical discourse on sunlight and disease, and this is a primary source analysis. </w:t>
      </w:r>
    </w:p>
    <w:p w14:paraId="1C5C9577"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2.</w:t>
      </w:r>
      <w:r>
        <w:rPr>
          <w:rFonts w:ascii="Times New Roman" w:hAnsi="Times New Roman"/>
          <w:color w:val="000000"/>
          <w:sz w:val="22"/>
        </w:rPr>
        <w:tab/>
        <w:t xml:space="preserve">And further situating these texts within colonial political economies and racial ideologies that privileged productivity and endurance is how contextualization was done. </w:t>
      </w:r>
    </w:p>
    <w:p w14:paraId="26DEB59F"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3.</w:t>
      </w:r>
      <w:r>
        <w:rPr>
          <w:rFonts w:ascii="Times New Roman" w:hAnsi="Times New Roman"/>
          <w:color w:val="000000"/>
          <w:sz w:val="22"/>
        </w:rPr>
        <w:tab/>
        <w:t>Furthermore post 1947 Indian institutions that inherited British medical categories and emphasized infection over chronic exposure. I’ve also been traced under continuity and change.</w:t>
      </w:r>
    </w:p>
    <w:p w14:paraId="48EA61DD"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4.</w:t>
      </w:r>
      <w:r>
        <w:rPr>
          <w:rFonts w:ascii="Times New Roman" w:hAnsi="Times New Roman"/>
          <w:color w:val="000000"/>
          <w:sz w:val="22"/>
        </w:rPr>
        <w:tab/>
        <w:t>Moreover, there has been analysis done on what records say and what they omit as well, which is the absence of skin Cancer data in sporting populations as evidence of a systemic bias, and this is so criticism and silence</w:t>
      </w:r>
    </w:p>
    <w:p w14:paraId="75B0C45F"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Colonial Medicine and The Sun is Healthy Ideology</w:t>
      </w:r>
    </w:p>
    <w:p w14:paraId="196A7224"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In the 19th century, British medicine moralized sunlight and physicians such as Nightingale praised heliotherapy, while colonial administrators equated exposure with racial strengthening, especially in the Indian Medical Gazette 1887. An article has described the tropics as a beneficial solar discipline, which reveals moral reasoning to be greater than scientific reasoning at that time.</w:t>
      </w:r>
    </w:p>
    <w:p w14:paraId="23A98BD9"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I’m cricket became a laboratory for that ideology, manuals like the Bombay Gymkhana cricket guide 1899 recommended Daly exposure for fortifying skin and sinew. Analysing these texts, it was clear how injury vanished from the narrative entirely, and sunlight was symbolized as being pure.</w:t>
      </w:r>
    </w:p>
    <w:p w14:paraId="3A66C339"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The same story has been portrayed by the archival hospital records from SIMLA 1904 listing thousands of sunstroke cases but none of chronic lesions, which is a textbook example of archival silence, and this absence can be considered data because medical categories were constrained by the imperial ideology. </w:t>
      </w:r>
    </w:p>
    <w:p>
      <w:r>
        <w:rPr>
          <w:rFonts w:ascii="Times New Roman" w:hAnsi="Times New Roman"/>
          <w:sz w:val="22"/>
        </w:rPr>
        <w:br w:type="page"/>
      </w:r>
    </w:p>
    <w:p w14:paraId="527C9184"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Interwar Years: Race, masculinity, and the Athletic Body</w:t>
      </w:r>
      <w:r>
        <w:rPr>
          <w:rFonts w:ascii="Times New Roman" w:hAnsi="Times New Roman"/>
          <w:b/>
          <w:bCs/>
          <w:color w:val="000000"/>
          <w:sz w:val="22"/>
          <w:szCs w:val="28"/>
        </w:rPr>
        <w:t xml:space="preserve"> </w:t>
      </w:r>
      <w:r w:rsidRPr="00C52582">
        <w:rPr>
          <w:rFonts w:ascii="Times New Roman" w:hAnsi="Times New Roman"/>
          <w:b/>
          <w:bCs/>
          <w:color w:val="000000"/>
          <w:sz w:val="22"/>
          <w:szCs w:val="28"/>
        </w:rPr>
        <w:t xml:space="preserve">type </w:t>
      </w:r>
      <w:r>
        <w:rPr>
          <w:rFonts w:ascii="Times New Roman" w:hAnsi="Times New Roman"/>
          <w:b/>
          <w:bCs/>
          <w:color w:val="000000"/>
          <w:sz w:val="22"/>
          <w:szCs w:val="28"/>
        </w:rPr>
        <w:t>(</w:t>
      </w:r>
      <w:r w:rsidRPr="00C52582">
        <w:rPr>
          <w:rFonts w:ascii="Times New Roman" w:hAnsi="Times New Roman"/>
          <w:b/>
          <w:bCs/>
          <w:color w:val="000000"/>
          <w:sz w:val="22"/>
          <w:szCs w:val="28"/>
        </w:rPr>
        <w:t>1914-1947</w:t>
      </w:r>
      <w:r>
        <w:rPr>
          <w:rFonts w:ascii="Times New Roman" w:hAnsi="Times New Roman"/>
          <w:b/>
          <w:bCs/>
          <w:color w:val="000000"/>
          <w:sz w:val="22"/>
          <w:szCs w:val="28"/>
        </w:rPr>
        <w:t>)</w:t>
      </w:r>
    </w:p>
    <w:p w14:paraId="0FE75863"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During World War II, laboratory dermatology in Europe demonstrated UV carcinogens, UNNA 1894; Findlay 1928. Bharat's colonial field medicine ignored those findings, the misconception that dark-skinned individuals were immune, especially in India, which was a racial misconception that was qualified in medical education, and caused Indian soldiers to have lesions. </w:t>
      </w:r>
    </w:p>
    <w:p w14:paraId="393682DD"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Cricket was a sport that embodied the imperial cult of muscular Christianity, and tanning was to prove loyalty and virility. Medical neglect stemmed from moral blindness, and if admitted that sunlight harmed players would have undermined the ideological foundation of the empire entirely. </w:t>
      </w:r>
    </w:p>
    <w:p w14:paraId="76B97784" w14:textId="77777777" w:rsidR="00ED1981" w:rsidRPr="005C2A6D" w:rsidRDefault="00ED1981" w:rsidP="00ED1981">
      <w:pPr>
        <w:pStyle w:val="Heading1"/>
        <w:keepNext/>
        <w:keepLines w:val="0"/>
        <w:pageBreakBefore w:val="0"/>
        <w:widowControl/>
        <w:spacing w:before="240" w:after="140" w:line="252" w:lineRule="auto"/>
        <w:jc w:val="left"/>
        <w:rPr>
          <w:b/>
          <w:bCs/>
          <w:sz w:val="28"/>
          <w:szCs w:val="28"/>
        </w:rPr>
      </w:pPr>
      <w:r w:rsidRPr="005C2A6D">
        <w:rPr>
          <w:rFonts w:ascii="Times New Roman" w:hAnsi="Times New Roman"/>
          <w:b/>
          <w:bCs/>
          <w:color w:val="000000"/>
          <w:sz w:val="22"/>
          <w:szCs w:val="28"/>
        </w:rPr>
        <w:t xml:space="preserve">Independence and bureaucratic inheritance </w:t>
      </w:r>
      <w:r>
        <w:rPr>
          <w:rFonts w:ascii="Times New Roman" w:hAnsi="Times New Roman"/>
          <w:b/>
          <w:bCs/>
          <w:color w:val="000000"/>
          <w:sz w:val="22"/>
          <w:szCs w:val="28"/>
        </w:rPr>
        <w:t>(</w:t>
      </w:r>
      <w:r w:rsidRPr="005C2A6D">
        <w:rPr>
          <w:rFonts w:ascii="Times New Roman" w:hAnsi="Times New Roman"/>
          <w:b/>
          <w:bCs/>
          <w:color w:val="000000"/>
          <w:sz w:val="22"/>
          <w:szCs w:val="28"/>
        </w:rPr>
        <w:t>1947–1980</w:t>
      </w:r>
      <w:r>
        <w:rPr>
          <w:rFonts w:ascii="Times New Roman" w:hAnsi="Times New Roman"/>
          <w:b/>
          <w:bCs/>
          <w:color w:val="000000"/>
          <w:sz w:val="22"/>
          <w:szCs w:val="28"/>
        </w:rPr>
        <w:t>)</w:t>
      </w:r>
    </w:p>
    <w:p w14:paraId="442AFEA9"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When India achieved independence, it inherited the British public health priorities, which were malaria, cholera and tuberculosis. This is showcased by the 1960s 3ICMR annual report, which lists occupational hazards for factory labourers but not for outdoor athletes. Therefore, it is discernible that sports medicine focused on biomechanics and diet only. </w:t>
      </w:r>
    </w:p>
    <w:p w14:paraId="40786F0A"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Meanwhile, western nations began recognizing UV radiation as carcinogenic BMJ 1956, the dark side of sunshine. India’s medical journals remain silent, though, and this reflects the conceptual inertia of continuing to equate work with industrial labor, all while treating sport as a leisure activity, which was beyond regulation. </w:t>
      </w:r>
    </w:p>
    <w:p>
      <w:r>
        <w:rPr>
          <w:rFonts w:ascii="Times New Roman" w:hAnsi="Times New Roman"/>
          <w:sz w:val="22"/>
        </w:rPr>
        <w:br w:type="page"/>
      </w:r>
    </w:p>
    <w:p w14:paraId="4450D06B" w14:textId="77777777" w:rsidR="00ED1981" w:rsidRPr="005C2A6D" w:rsidRDefault="00ED1981" w:rsidP="00ED1981">
      <w:pPr>
        <w:pStyle w:val="Heading1"/>
        <w:keepNext/>
        <w:keepLines w:val="0"/>
        <w:pageBreakBefore w:val="0"/>
        <w:widowControl/>
        <w:spacing w:before="240" w:after="140" w:line="252" w:lineRule="auto"/>
        <w:jc w:val="left"/>
        <w:rPr>
          <w:b/>
          <w:bCs/>
          <w:sz w:val="28"/>
          <w:szCs w:val="28"/>
        </w:rPr>
      </w:pPr>
      <w:r w:rsidRPr="005C2A6D">
        <w:rPr>
          <w:rFonts w:ascii="Times New Roman" w:hAnsi="Times New Roman"/>
          <w:b/>
          <w:bCs/>
          <w:color w:val="000000"/>
          <w:sz w:val="22"/>
          <w:szCs w:val="28"/>
        </w:rPr>
        <w:t>Visibility without recognition, 1980 to 2000</w:t>
      </w:r>
    </w:p>
    <w:p w14:paraId="6B586A04"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Television turned cricketers into these sunlight icons because they marketed the healthy tan as proof of dedication. A survey taken of 50 issues of the Indian Journal of Sports Science running from 1980 to 2000 revealed almost 0 references to UV protection, and sunlight only appeared under the vitamin D category, so historiographically this represents continuity through rebranding and internationally Australia’s Slip Slop Lab campaign of 1981 marked political policy reform, but no equivalent Indian initiative ever emerged during that time. </w:t>
      </w:r>
    </w:p>
    <w:p w14:paraId="16D9009C" w14:textId="77777777" w:rsidR="00ED1981" w:rsidRPr="005C2A6D" w:rsidRDefault="00ED1981" w:rsidP="00ED1981">
      <w:pPr>
        <w:pStyle w:val="Heading1"/>
        <w:keepNext/>
        <w:keepLines w:val="0"/>
        <w:pageBreakBefore w:val="0"/>
        <w:widowControl/>
        <w:spacing w:before="240" w:after="140" w:line="252" w:lineRule="auto"/>
        <w:jc w:val="left"/>
        <w:rPr>
          <w:b/>
          <w:bCs/>
          <w:sz w:val="28"/>
          <w:szCs w:val="28"/>
        </w:rPr>
      </w:pPr>
      <w:r w:rsidRPr="005C2A6D">
        <w:rPr>
          <w:rFonts w:ascii="Times New Roman" w:hAnsi="Times New Roman"/>
          <w:b/>
          <w:bCs/>
          <w:color w:val="000000"/>
          <w:sz w:val="22"/>
          <w:szCs w:val="28"/>
        </w:rPr>
        <w:t>Biological and evolutionary context</w:t>
      </w:r>
    </w:p>
    <w:p w14:paraId="1DF91161"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Ultraviolet radiation, UVA, UVB, induces DNA pyrimidine dimers, which damage numerous suppressor genes such as p53 and accelerate senescence, and melanin provides only partial protection. Moreover, evolutionarily, natural selection always favors reproduction; therefore, skin repair mechanisms tend to decline after early adulthood. Furthermore, cricket exaggerates this exposure because there are six-hour-long matches, and there is reflective white clothing and sweating that increases the </w:t>
      </w:r>
      <w:proofErr w:type="spellStart"/>
      <w:r>
        <w:rPr>
          <w:rFonts w:ascii="Times New Roman" w:hAnsi="Times New Roman"/>
          <w:color w:val="000000"/>
          <w:sz w:val="22"/>
        </w:rPr>
        <w:t>phototoxicity</w:t>
      </w:r>
      <w:proofErr w:type="spellEnd"/>
      <w:r>
        <w:rPr>
          <w:rFonts w:ascii="Times New Roman" w:hAnsi="Times New Roman"/>
          <w:color w:val="000000"/>
          <w:sz w:val="22"/>
        </w:rPr>
        <w:t xml:space="preserve">. This slow cumulative nature of this damage explains exactly why, historically, it has been ignored because diseases without drama rarely make headlines or laws. </w:t>
      </w:r>
    </w:p>
    <w:p>
      <w:r>
        <w:rPr>
          <w:rFonts w:ascii="Times New Roman" w:hAnsi="Times New Roman"/>
          <w:sz w:val="22"/>
        </w:rPr>
        <w:br w:type="page"/>
      </w:r>
    </w:p>
    <w:p w14:paraId="6D12B8D6"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Contemporary Fields study 2025 design and data</w:t>
      </w:r>
    </w:p>
    <w:p w14:paraId="0249EB13"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To connect this history to the present, a six-week pilot was conducted in Amritsar in October 2025 </w:t>
      </w:r>
    </w:p>
    <w:p w14:paraId="68CBD8CB" w14:textId="77777777" w:rsidR="00ED1981" w:rsidRDefault="00ED1981" w:rsidP="00ED1981">
      <w:pPr>
        <w:pStyle w:val="Heading1"/>
        <w:keepNext/>
        <w:keepLines w:val="0"/>
        <w:pageBreakBefore w:val="0"/>
        <w:widowControl/>
        <w:spacing w:before="240" w:after="140" w:line="252" w:lineRule="auto"/>
        <w:jc w:val="left"/>
      </w:pPr>
      <w:r>
        <w:rPr>
          <w:rFonts w:ascii="Times New Roman" w:hAnsi="Times New Roman"/>
          <w:b/>
          <w:color w:val="000000"/>
          <w:sz w:val="22"/>
        </w:rPr>
        <w:t xml:space="preserve">Participants and setting: </w:t>
      </w:r>
    </w:p>
    <w:p w14:paraId="6F48D9FC"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N = across professional academy and recreational cohorts</w:t>
      </w:r>
    </w:p>
    <w:p w14:paraId="58DF7B27"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Roles: players 82% coaches 12% empires 6%</w:t>
      </w:r>
    </w:p>
    <w:p w14:paraId="10846282"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Skin types recorded using the Fitzpatrick scale I-VI</w:t>
      </w:r>
    </w:p>
    <w:p w14:paraId="41C3D8D0"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Grounds: Gandhi ground, Railway Academy, Company Bagh pavilion.</w:t>
      </w:r>
    </w:p>
    <w:p w14:paraId="354022B6"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Data collection</w:t>
      </w:r>
    </w:p>
    <w:p w14:paraId="788075FB"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1.</w:t>
      </w:r>
      <w:r>
        <w:rPr>
          <w:rFonts w:ascii="Times New Roman" w:hAnsi="Times New Roman"/>
          <w:color w:val="000000"/>
          <w:sz w:val="22"/>
        </w:rPr>
        <w:tab/>
        <w:t xml:space="preserve">Baseline survey: demographics, protection habits. </w:t>
      </w:r>
    </w:p>
    <w:p w14:paraId="733B2487"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2.</w:t>
      </w:r>
      <w:r>
        <w:rPr>
          <w:rFonts w:ascii="Times New Roman" w:hAnsi="Times New Roman"/>
          <w:color w:val="000000"/>
          <w:sz w:val="22"/>
        </w:rPr>
        <w:tab/>
        <w:t xml:space="preserve">Weekly exposure logs for six weeks: sun hours, UV index, sunburn, protection. </w:t>
      </w:r>
    </w:p>
    <w:p w14:paraId="3EF5431B"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ab/>
        <w:t>3.</w:t>
      </w:r>
      <w:r>
        <w:rPr>
          <w:rFonts w:ascii="Times New Roman" w:hAnsi="Times New Roman"/>
          <w:color w:val="000000"/>
          <w:sz w:val="22"/>
        </w:rPr>
        <w:tab/>
        <w:t>Clinical screening by Dr Gambhir for actinic keratosis AK and suspected basal or squamous cell carcinoma</w:t>
      </w:r>
    </w:p>
    <w:p w14:paraId="726625EB"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Ethics</w:t>
      </w:r>
    </w:p>
    <w:p w14:paraId="53C9A8DF"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Participants signed plain language consent, IDs were anonymized, and photos were stored securely with permission. </w:t>
      </w:r>
    </w:p>
    <w:p w14:paraId="5E67F6B9" w14:textId="77777777" w:rsidR="00ED1981" w:rsidRDefault="00ED1981" w:rsidP="00ED1981">
      <w:pPr>
        <w:pStyle w:val="Heading1"/>
        <w:keepNext/>
        <w:keepLines w:val="0"/>
        <w:pageBreakBefore w:val="0"/>
        <w:widowControl/>
        <w:spacing w:before="240" w:after="140" w:line="252" w:lineRule="auto"/>
        <w:jc w:val="left"/>
      </w:pPr>
      <w:r>
        <w:rPr>
          <w:rFonts w:ascii="Times New Roman" w:hAnsi="Times New Roman"/>
          <w:b/>
          <w:color w:val="000000"/>
          <w:sz w:val="22"/>
        </w:rPr>
        <w:t>Field results.                     Prevalence of any lesions</w:t>
      </w:r>
    </w:p>
    <w:p w14:paraId="55710952"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Cohort.                               </w:t>
      </w:r>
    </w:p>
    <w:p w14:paraId="6C7F8121"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Academy.                             5.3 </w:t>
      </w:r>
    </w:p>
    <w:p w14:paraId="7289AFDE"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Professional.                       5.3 </w:t>
      </w:r>
    </w:p>
    <w:p w14:paraId="272CD29C"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Recreational.                       0.0</w:t>
      </w:r>
    </w:p>
    <w:p w14:paraId="7D9860FE"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Overall.                                 3.8 </w:t>
      </w:r>
    </w:p>
    <w:p w14:paraId="4AC63E8E"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Lesions included early actinic keratosis and a few suspected basal cell carcinoma as well, and the logistic regression, which was (lesion~sun  hours+ protection minutes +age+ sex+ Fitzpatrick+ cohort), showed the expected direction as thought of before. </w:t>
      </w:r>
    </w:p>
    <w:p w14:paraId="5B3A6DBE"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More sun hours equal higher odds of lesions, and greater protection minutes equal lower odds and darker skin types from 4 to 6 showed reduced but not non-risk and although the model's convergence was limited by its sample size effect action they aligned with biomedical expectations anyway. </w:t>
      </w:r>
    </w:p>
    <w:p>
      <w:r>
        <w:rPr>
          <w:rFonts w:ascii="Times New Roman" w:hAnsi="Times New Roman"/>
          <w:sz w:val="22"/>
        </w:rPr>
        <w:br w:type="page"/>
      </w:r>
    </w:p>
    <w:p w14:paraId="33059FD4"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Interpretation</w:t>
      </w:r>
    </w:p>
    <w:p w14:paraId="79D14BAC"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This empirically supports the historical thesis that the very exposures which are normalized by cultural ideals. They have measurable pathological consequences for the human body, and the lower definite prevalence of legions demonstrates that occupational cancer risk exists even within short time frames and sports, including cricket, is indeed an occupation.</w:t>
      </w:r>
    </w:p>
    <w:p w14:paraId="5873A156"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And facilities with explicit sun safety policies show stronger protective behavior as well, and this suggests that administrative awareness determines real outcomes and a modern mirror of historical bureaucracy that once ignored exposure entirely is shown through this study. </w:t>
      </w:r>
    </w:p>
    <w:p w14:paraId="361AFDEC"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Policy implications</w:t>
      </w:r>
    </w:p>
    <w:p w14:paraId="448C0EBE"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There is a need to reclassify athletes under occupational exposure categories in the sports Federation</w:t>
      </w:r>
    </w:p>
    <w:p w14:paraId="4C1E57DA"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It is important to mandate dermatologist screenings in national and state cricket boards </w:t>
      </w:r>
    </w:p>
    <w:p w14:paraId="431D3550"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UV index tracking should be included in match scheduling</w:t>
      </w:r>
    </w:p>
    <w:p w14:paraId="52932636"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Subsidized protective gear and sunscreen must be standard equipment in all levels of the game</w:t>
      </w:r>
    </w:p>
    <w:p w14:paraId="722DD1E3"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The history of occupational disease must be integrated into sports medicine curricula to prevent the repetition of such conceptual blindness again</w:t>
      </w:r>
    </w:p>
    <w:p w14:paraId="5B0E01D7"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Discussion</w:t>
      </w:r>
    </w:p>
    <w:p w14:paraId="436972C4"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Historical source analysis clarifies causation beyond biology itself, and colonial lack chives have reconstructed sunlight as moral postcolonial bureaucracy; however have also inherited that category, and the result is structural delay in preventable cancer and recognizing this genealogy shifts responsibility from individuals to institutions, which is how it ought to be in a democracy like India. </w:t>
      </w:r>
    </w:p>
    <w:p>
      <w:pPr>
        <w:pStyle w:val="Heading1"/>
        <w:keepNext/>
        <w:widowControl/>
        <w:spacing w:after="140"/>
      </w:pPr>
      <w:r>
        <w:rPr>
          <w:rFonts w:ascii="Times New Roman" w:hAnsi="Times New Roman"/>
          <w:sz w:val="22"/>
        </w:rPr>
        <w:t>Limits and questions for further research</w:t>
      </w:r>
    </w:p>
    <w:p>
      <w:pPr>
        <w:keepNext w:val="0"/>
        <w:widowControl/>
        <w:spacing w:after="140"/>
      </w:pPr>
      <w:r>
        <w:rPr>
          <w:rFonts w:ascii="Times New Roman" w:hAnsi="Times New Roman"/>
          <w:sz w:val="22"/>
        </w:rPr>
        <w:t>The sociological explanations offered here should be read as interpretations and propositions for further investigation. They are not additional results from the field study. The small pilot cannot establish why institutions developed particular practices, and it cannot demonstrate a causal relationship between sporting culture and cancer. Its observations should be kept separate from the wider historical argument, even where they suggest useful questions.</w:t>
      </w:r>
    </w:p>
    <w:p>
      <w:pPr>
        <w:keepNext w:val="0"/>
        <w:widowControl/>
        <w:spacing w:after="140"/>
      </w:pPr>
      <w:r>
        <w:rPr>
          <w:rFonts w:ascii="Times New Roman" w:hAnsi="Times New Roman"/>
          <w:sz w:val="22"/>
        </w:rPr>
        <w:t>The field report also needs a complete account of the participant denominator, cohort sizes and the distinction between clinically suspected and confirmed conditions before its numerical results can be assessed fully. A short observation period cannot establish when a lesion developed or attribute it to a particular sporting setting. Any discussion of regression should report the actual estimates, uncertainty and model limitations rather than relying only on an expected direction of association. These requirements concern the strength of the interpretation and should guide any subsequent revision of the empirical section.</w:t>
      </w:r>
    </w:p>
    <w:p>
      <w:pPr>
        <w:keepNext w:val="0"/>
        <w:widowControl/>
        <w:spacing w:after="140"/>
      </w:pPr>
      <w:r>
        <w:rPr>
          <w:rFonts w:ascii="Times New Roman" w:hAnsi="Times New Roman"/>
          <w:sz w:val="22"/>
        </w:rPr>
        <w:t>Historical claims likewise require identifiable passages and publication details. Broad references to a journal over several decades are not sufficient to establish the prevalence of an attitude or the absence of competing views. Future work could use a defined set of issues, record its search terms and include material that challenges the argument. This would make it possible to distinguish an institution’s documented position from a silence produced by the limits of the surviving sources.</w:t>
      </w:r>
    </w:p>
    <w:p>
      <w:r>
        <w:rPr>
          <w:rFonts w:ascii="Times New Roman" w:hAnsi="Times New Roman"/>
          <w:sz w:val="22"/>
        </w:rPr>
        <w:br w:type="page"/>
      </w:r>
    </w:p>
    <w:p>
      <w:pPr>
        <w:pStyle w:val="Heading1"/>
        <w:keepNext/>
        <w:widowControl/>
        <w:spacing w:after="140"/>
      </w:pPr>
      <w:r>
        <w:rPr>
          <w:rFonts w:ascii="Times New Roman" w:hAnsi="Times New Roman"/>
          <w:sz w:val="22"/>
        </w:rPr>
        <w:t>The social definition of sporting injury</w:t>
      </w:r>
    </w:p>
    <w:p>
      <w:pPr>
        <w:keepNext w:val="0"/>
        <w:widowControl/>
        <w:spacing w:after="140"/>
      </w:pPr>
      <w:r>
        <w:rPr>
          <w:rFonts w:ascii="Times New Roman" w:hAnsi="Times New Roman"/>
          <w:sz w:val="22"/>
        </w:rPr>
        <w:t>The historical account also raises a sociological question about what sport is prepared to recognize as an injury. An injury is often easiest to identify when it produces a visible interruption, such as a player leaving the field or being unable to complete a movement. Cumulative exposure presents a different problem because participation can continue while damage is being accumulated. In this sense, the ability to keep playing is an incomplete measure of whether the conditions of play are safe. This paper proposes that a focus on immediate availability may help explain why slower forms of harm receive less attention, although this explanation requires investigation rather than being treated as a finding of the pilot.</w:t>
      </w:r>
    </w:p>
    <w:p>
      <w:pPr>
        <w:keepNext w:val="0"/>
        <w:widowControl/>
        <w:spacing w:after="140"/>
      </w:pPr>
      <w:r>
        <w:rPr>
          <w:rFonts w:ascii="Times New Roman" w:hAnsi="Times New Roman"/>
          <w:sz w:val="22"/>
        </w:rPr>
        <w:t>There is also a difference between a condition existing in a body and that condition acquiring a place in an institution. A medical concern can become part of sport through the questions asked during screening, the injuries entered in a register and the matters discussed in a coaching session. These practices influence which problems become visible to administrators. The absence of a category for sun exposure would not mean that the exposure does not exist. It would mean that the institution has fewer opportunities to record and respond to it.</w:t>
      </w:r>
    </w:p>
    <w:p>
      <w:pPr>
        <w:keepNext w:val="0"/>
        <w:widowControl/>
        <w:spacing w:after="140"/>
      </w:pPr>
      <w:r>
        <w:rPr>
          <w:rFonts w:ascii="Times New Roman" w:hAnsi="Times New Roman"/>
          <w:sz w:val="22"/>
        </w:rPr>
        <w:t>This distinction matters for the interpretation of historical silence. A record with no mention of skin cancer cannot, on its own, demonstrate that physicians deliberately ignored it. It may reflect the purpose of the record, the period of observation or the terminology used. The sociological question is therefore how reporting practices make some forms of harm easier to recognize than others. Examining that question would require comparing the categories in medical records with the experiences described by players and coaches.</w:t>
      </w:r>
    </w:p>
    <w:p>
      <w:r>
        <w:rPr>
          <w:rFonts w:ascii="Times New Roman" w:hAnsi="Times New Roman"/>
          <w:sz w:val="22"/>
        </w:rPr>
        <w:br w:type="page"/>
      </w:r>
    </w:p>
    <w:p>
      <w:pPr>
        <w:pStyle w:val="Heading1"/>
        <w:keepNext/>
        <w:widowControl/>
        <w:spacing w:after="140"/>
      </w:pPr>
      <w:r>
        <w:rPr>
          <w:rFonts w:ascii="Times New Roman" w:hAnsi="Times New Roman"/>
          <w:sz w:val="22"/>
        </w:rPr>
        <w:t>Match schedules and the organization of exposure</w:t>
      </w:r>
    </w:p>
    <w:p>
      <w:pPr>
        <w:keepNext w:val="0"/>
        <w:widowControl/>
        <w:spacing w:after="140"/>
      </w:pPr>
      <w:r>
        <w:rPr>
          <w:rFonts w:ascii="Times New Roman" w:hAnsi="Times New Roman"/>
          <w:sz w:val="22"/>
        </w:rPr>
        <w:t>Exposure is also organized through time. Players do not encounter sunlight only because they prefer to remain outdoors; their participation takes place within training sessions, fixtures and expectations about attendance. A timetable can therefore distribute exposure before an individual makes a decision about protection. This gives the ordinary match schedule a sociological importance because it connects bodily risk to decisions made collectively. Occupational guidance identifies scheduling and shaded breaks as possible protective measures, which supports examining the organization of activity alongside individual precautions [9].</w:t>
      </w:r>
    </w:p>
    <w:p>
      <w:pPr>
        <w:keepNext w:val="0"/>
        <w:widowControl/>
        <w:spacing w:after="140"/>
      </w:pPr>
      <w:r>
        <w:rPr>
          <w:rFonts w:ascii="Times New Roman" w:hAnsi="Times New Roman"/>
          <w:sz w:val="22"/>
        </w:rPr>
        <w:t>For cricket, this suggests asking who controls the hours of training, whether protection can be renewed during breaks and whether players can request adjustments without affecting their place in a team. These are proposed questions for further enquiry, not experiences established by the present data. The same scheduled session may also be experienced differently by a player, an umpire and a coach. Their duties determine where they stand, how often they can leave the field and whether they can use available shade.</w:t>
      </w:r>
    </w:p>
    <w:p>
      <w:pPr>
        <w:keepNext w:val="0"/>
        <w:widowControl/>
        <w:spacing w:after="140"/>
      </w:pPr>
      <w:r>
        <w:rPr>
          <w:rFonts w:ascii="Times New Roman" w:hAnsi="Times New Roman"/>
          <w:sz w:val="22"/>
        </w:rPr>
        <w:t>A further difficulty is the separation between the time of exposure and the time at which illness is recognized. A player may move between schools, academies and clubs, while health records remain within each organization. This paper argues that such movement could fragment responsibility for cumulative exposure. No single institution necessarily observes the whole history. A useful future study would reconstruct sporting participation over time rather than treating the present club as the only setting that matters. This would help distinguish a short period of observation from the much longer history in which a health concern develops.</w:t>
      </w:r>
    </w:p>
    <w:p>
      <w:r>
        <w:rPr>
          <w:rFonts w:ascii="Times New Roman" w:hAnsi="Times New Roman"/>
          <w:sz w:val="22"/>
        </w:rPr>
        <w:br w:type="page"/>
      </w:r>
    </w:p>
    <w:p>
      <w:pPr>
        <w:pStyle w:val="Heading1"/>
        <w:keepNext/>
        <w:widowControl/>
        <w:spacing w:after="140"/>
      </w:pPr>
      <w:r>
        <w:rPr>
          <w:rFonts w:ascii="Times New Roman" w:hAnsi="Times New Roman"/>
          <w:sz w:val="22"/>
        </w:rPr>
        <w:t>The athletic body and the power to seek protection</w:t>
      </w:r>
    </w:p>
    <w:p>
      <w:pPr>
        <w:keepNext w:val="0"/>
        <w:widowControl/>
        <w:spacing w:after="140"/>
      </w:pPr>
      <w:r>
        <w:rPr>
          <w:rFonts w:ascii="Times New Roman" w:hAnsi="Times New Roman"/>
          <w:sz w:val="22"/>
        </w:rPr>
        <w:t>The athletic body can also be examined as a resource on which sporting organizations depend. Training develops skill, and successful performance may produce recognition for the player and the institution. Yet the interests involved are not always organized around the same period of time. An immediate result is visible during a season, while the value of prevention may become clear much later. This does not establish that institutions intentionally disregard health. It identifies a possible tension between how performance is rewarded and how long-term wellbeing is protected.</w:t>
      </w:r>
    </w:p>
    <w:p>
      <w:pPr>
        <w:keepNext w:val="0"/>
        <w:widowControl/>
        <w:spacing w:after="140"/>
      </w:pPr>
      <w:r>
        <w:rPr>
          <w:rFonts w:ascii="Times New Roman" w:hAnsi="Times New Roman"/>
          <w:sz w:val="22"/>
        </w:rPr>
        <w:t>The ability to respond to that tension may differ across levels of participation. A recognized professional, a young academy player and an occasional recreational player may have different access to advice and different opportunities to influence training conditions. These differences cannot be inferred from the pilot percentages alone. They suggest that future interviews should examine who can ask for a break, who decides what equipment is available and whose concerns are taken seriously. Protection involves access to resources, but it also involves the authority to use them.</w:t>
      </w:r>
    </w:p>
    <w:p>
      <w:pPr>
        <w:keepNext w:val="0"/>
        <w:widowControl/>
        <w:spacing w:after="140"/>
      </w:pPr>
      <w:r>
        <w:rPr>
          <w:rFonts w:ascii="Times New Roman" w:hAnsi="Times New Roman"/>
          <w:sz w:val="22"/>
        </w:rPr>
        <w:t>This perspective changes how personal responsibility should be discussed. Knowing that protection is advisable is not identical to being able to fit it into a training routine. A player may depend on a coach for permission, on a club for facilities or on a family for the cost of equipment. The appropriate sociological unit is therefore the relationship between the athlete and the organization. The contribution of this approach is to make those relationships open to enquiry without assuming that all athletes experience the same restrictions or that all clubs respond in the same way.</w:t>
      </w:r>
    </w:p>
    <w:p>
      <w:r>
        <w:rPr>
          <w:rFonts w:ascii="Times New Roman" w:hAnsi="Times New Roman"/>
          <w:sz w:val="22"/>
        </w:rPr>
        <w:br w:type="page"/>
      </w:r>
    </w:p>
    <w:p>
      <w:pPr>
        <w:pStyle w:val="Heading1"/>
        <w:keepNext/>
        <w:widowControl/>
        <w:spacing w:after="140"/>
      </w:pPr>
      <w:r>
        <w:rPr>
          <w:rFonts w:ascii="Times New Roman" w:hAnsi="Times New Roman"/>
          <w:sz w:val="22"/>
        </w:rPr>
        <w:t>Reading Findlay through a sociological question</w:t>
      </w:r>
    </w:p>
    <w:p>
      <w:pPr>
        <w:keepNext w:val="0"/>
        <w:widowControl/>
        <w:spacing w:after="140"/>
      </w:pPr>
      <w:r>
        <w:rPr>
          <w:rFonts w:ascii="Times New Roman" w:hAnsi="Times New Roman"/>
          <w:sz w:val="22"/>
        </w:rPr>
        <w:t>G. M. Findlay’s 1928 paper, Ultra-violet Light and Skin Cancer, offers a useful historical point of reference. It appeared in The Lancet, volume 212, pages 1070–1073 [4]. The International Agency for Research on Cancer’s assessment identifies it as an early report of experimentally induced skin cancers in mice exposed to a mercury-arc lamp [10]. The discussion here uses that assessed account of the experiment; it does not claim a complete examination of the original experimental records.</w:t>
      </w:r>
    </w:p>
    <w:p>
      <w:pPr>
        <w:keepNext w:val="0"/>
        <w:widowControl/>
        <w:spacing w:after="140"/>
      </w:pPr>
      <w:r>
        <w:rPr>
          <w:rFonts w:ascii="Times New Roman" w:hAnsi="Times New Roman"/>
          <w:sz w:val="22"/>
        </w:rPr>
        <w:t>The question I draw from this example concerns the distance between establishing a biological hazard and making that hazard part of everyday sporting practice. An experiment can provide evidence about an effect under particular conditions, but it cannot by itself decide who should be responsible for protection on a cricket ground. That requires further decisions about relevance, resources and institutional responsibility. The sociological contribution is to examine this process of translation rather than assuming that scientific recognition automatically produces organized prevention.</w:t>
      </w:r>
    </w:p>
    <w:p>
      <w:pPr>
        <w:keepNext w:val="0"/>
        <w:widowControl/>
        <w:spacing w:after="140"/>
      </w:pPr>
      <w:r>
        <w:rPr>
          <w:rFonts w:ascii="Times New Roman" w:hAnsi="Times New Roman"/>
          <w:sz w:val="22"/>
        </w:rPr>
        <w:t>It would be misleading, however, to treat an animal experiment as a direct estimate of risk among Indian cricketers. Differences in exposure, species and setting prevent that conclusion. Nor does the existence of a paper in 1928 prove that a particular colonial doctor or cricket administrator read it and rejected its implications. Establishing such a history would require evidence of circulation, citation, correspondence or policy discussion. This qualification is central to the argument because the availability of knowledge and the uptake of knowledge are distinct matters.</w:t>
      </w:r>
    </w:p>
    <w:p>
      <w:pPr>
        <w:keepNext w:val="0"/>
        <w:widowControl/>
        <w:spacing w:after="140"/>
      </w:pPr>
      <w:r>
        <w:rPr>
          <w:rFonts w:ascii="Times New Roman" w:hAnsi="Times New Roman"/>
          <w:sz w:val="22"/>
        </w:rPr>
        <w:t>The example therefore produces a researchable question: through which channels did evidence about ultraviolet harm enter sports medicine, and where did that transfer encounter obstacles? A future archival study could compare successive medical manuals and coaching guidance to trace changes in terminology and advice. It could then examine whether recommendations were accompanied by responsibilities and practical arrangements. My interpretation is that the history of prevention must include this institutional journey, while leaving its specific causes open until the documentary evidence is sufficient.</w:t>
      </w:r>
    </w:p>
    <w:p>
      <w:r>
        <w:rPr>
          <w:rFonts w:ascii="Times New Roman" w:hAnsi="Times New Roman"/>
          <w:sz w:val="22"/>
        </w:rPr>
        <w:br w:type="page"/>
      </w:r>
    </w:p>
    <w:p>
      <w:pPr>
        <w:pStyle w:val="Heading1"/>
        <w:keepNext/>
        <w:widowControl/>
        <w:spacing w:after="140"/>
      </w:pPr>
      <w:r>
        <w:rPr>
          <w:rFonts w:ascii="Times New Roman" w:hAnsi="Times New Roman"/>
          <w:sz w:val="22"/>
        </w:rPr>
        <w:t>A proposed pathway from evidence to protection</w:t>
      </w:r>
    </w:p>
    <w:p>
      <w:pPr>
        <w:keepNext w:val="0"/>
        <w:widowControl/>
        <w:spacing w:after="140"/>
      </w:pPr>
      <w:r>
        <w:rPr>
          <w:rFonts w:ascii="Times New Roman" w:hAnsi="Times New Roman"/>
          <w:sz w:val="22"/>
        </w:rPr>
        <w:t>The discussion above can be brought together in a proposed pathway from evidence to protection. First, a hazard must be recognized medically. It must then be considered relevant to the sporting population, assigned to an organization or role and incorporated into an everyday routine. Finally, there must be a way to review whether the routine is being followed. These are analytical stages proposed in this paper, not a validated model or a claim that they always occur in a fixed sequence. Their value is to show where recognition may fail to become practical protection.</w:t>
      </w:r>
    </w:p>
    <w:p>
      <w:pPr>
        <w:keepNext w:val="0"/>
        <w:widowControl/>
        <w:spacing w:after="140"/>
      </w:pPr>
      <w:r>
        <w:rPr>
          <w:rFonts w:ascii="Times New Roman" w:hAnsi="Times New Roman"/>
          <w:sz w:val="22"/>
        </w:rPr>
        <w:t>The pathway also makes future enquiry more precise. A club may accept the health concern while lacking a clear person responsible for addressing it. Another may provide equipment without allowing time to use it. Another may issue guidance without recording whether the arrangements work for players and officials. These are illustrative possibilities rather than findings about the Amritsar sites. Comparing them would require interviews, observations and an examination of written policies. Such evidence could reveal whether a difficulty concerns knowledge, authority, facilities or implementation.</w:t>
      </w:r>
    </w:p>
    <w:p>
      <w:pPr>
        <w:keepNext w:val="0"/>
        <w:widowControl/>
        <w:spacing w:after="140"/>
      </w:pPr>
      <w:r>
        <w:rPr>
          <w:rFonts w:ascii="Times New Roman" w:hAnsi="Times New Roman"/>
          <w:sz w:val="22"/>
        </w:rPr>
        <w:t>The distinctive contribution proposed here is therefore a way to study institutional recognition, rather than another estimate of disease prevalence. It connects the historical question of how sunlight was described with the contemporary question of how sporting activity is organized. It also allows successful practices to be investigated, since the purpose is not to assume neglect everywhere. Where protection becomes routine, the same framework could help identify the arrangements that made that change possible.</w:t>
      </w:r>
    </w:p>
    <w:p w14:paraId="131A6B4F"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Conclusion</w:t>
      </w:r>
    </w:p>
    <w:p w14:paraId="779370AA"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From the empire to the playing fields of India’s modern stadiums, sunlight has proved itself as both a symbol of masculinity and sportsmanship as well as a deadly carcinogen, and the century-long </w:t>
      </w:r>
      <w:proofErr w:type="spellStart"/>
      <w:r>
        <w:rPr>
          <w:rFonts w:ascii="Times New Roman" w:hAnsi="Times New Roman"/>
          <w:color w:val="000000"/>
          <w:sz w:val="22"/>
        </w:rPr>
        <w:t>underrecognition</w:t>
      </w:r>
      <w:proofErr w:type="spellEnd"/>
      <w:r>
        <w:rPr>
          <w:rFonts w:ascii="Times New Roman" w:hAnsi="Times New Roman"/>
          <w:color w:val="000000"/>
          <w:sz w:val="22"/>
        </w:rPr>
        <w:t xml:space="preserve"> of skin cancer among cricketers is a story that is yet to be told entirely. So by combining historical analysis and field data, this paper recasts cancer as a cultural memory as well because healing requires two disciplines, which are medicine to repair the body and history to repair the vision. </w:t>
      </w:r>
    </w:p>
    <w:p w14:paraId="6E562816"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Acknowledgements</w:t>
      </w:r>
    </w:p>
    <w:p w14:paraId="7A4CB76B"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I thank the participating place coaches and medical staff of Amritsar. I dedicate this research to my grandfather, whose illness first made me ask why some cancers are recognized too late.</w:t>
      </w:r>
    </w:p>
    <w:p>
      <w:r>
        <w:rPr>
          <w:rFonts w:ascii="Times New Roman" w:hAnsi="Times New Roman"/>
          <w:sz w:val="22"/>
        </w:rPr>
        <w:br w:type="page"/>
      </w:r>
    </w:p>
    <w:p w14:paraId="56E4358F" w14:textId="77777777" w:rsidR="00ED1981" w:rsidRPr="00C52582" w:rsidRDefault="00ED1981" w:rsidP="00ED1981">
      <w:pPr>
        <w:pStyle w:val="Heading1"/>
        <w:keepNext/>
        <w:keepLines w:val="0"/>
        <w:pageBreakBefore w:val="0"/>
        <w:widowControl/>
        <w:spacing w:before="240" w:after="140" w:line="252" w:lineRule="auto"/>
        <w:jc w:val="left"/>
        <w:rPr>
          <w:b/>
          <w:bCs/>
          <w:sz w:val="28"/>
          <w:szCs w:val="28"/>
        </w:rPr>
      </w:pPr>
      <w:r w:rsidRPr="00C52582">
        <w:rPr>
          <w:rFonts w:ascii="Times New Roman" w:hAnsi="Times New Roman"/>
          <w:b/>
          <w:bCs/>
          <w:color w:val="000000"/>
          <w:sz w:val="22"/>
          <w:szCs w:val="28"/>
        </w:rPr>
        <w:t>References</w:t>
      </w:r>
    </w:p>
    <w:p w14:paraId="4D1B57AF"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1. The Indian Medical Gazette (1886-1939). Calcutta.</w:t>
      </w:r>
    </w:p>
    <w:p w14:paraId="2CFFA93F"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2. </w:t>
      </w:r>
      <w:proofErr w:type="spellStart"/>
      <w:r>
        <w:rPr>
          <w:rFonts w:ascii="Times New Roman" w:hAnsi="Times New Roman"/>
          <w:color w:val="000000"/>
          <w:sz w:val="22"/>
        </w:rPr>
        <w:t>Pott</w:t>
      </w:r>
      <w:proofErr w:type="spellEnd"/>
      <w:r>
        <w:rPr>
          <w:rFonts w:ascii="Times New Roman" w:hAnsi="Times New Roman"/>
          <w:color w:val="000000"/>
          <w:sz w:val="22"/>
        </w:rPr>
        <w:t xml:space="preserve">, P. (1775). </w:t>
      </w:r>
      <w:proofErr w:type="spellStart"/>
      <w:r>
        <w:rPr>
          <w:rFonts w:ascii="Times New Roman" w:hAnsi="Times New Roman"/>
          <w:color w:val="000000"/>
          <w:sz w:val="22"/>
        </w:rPr>
        <w:t>Chirurgical</w:t>
      </w:r>
      <w:proofErr w:type="spellEnd"/>
      <w:r>
        <w:rPr>
          <w:rFonts w:ascii="Times New Roman" w:hAnsi="Times New Roman"/>
          <w:color w:val="000000"/>
          <w:sz w:val="22"/>
        </w:rPr>
        <w:t xml:space="preserve"> Observations... Cancer of the Scrotum. London.</w:t>
      </w:r>
    </w:p>
    <w:p w14:paraId="670C931A"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 xml:space="preserve">3. </w:t>
      </w:r>
      <w:proofErr w:type="spellStart"/>
      <w:r>
        <w:rPr>
          <w:rFonts w:ascii="Times New Roman" w:hAnsi="Times New Roman"/>
          <w:color w:val="000000"/>
          <w:sz w:val="22"/>
        </w:rPr>
        <w:t>Unna</w:t>
      </w:r>
      <w:proofErr w:type="spellEnd"/>
      <w:r>
        <w:rPr>
          <w:rFonts w:ascii="Times New Roman" w:hAnsi="Times New Roman"/>
          <w:color w:val="000000"/>
          <w:sz w:val="22"/>
        </w:rPr>
        <w:t>, P. (1894). "</w:t>
      </w:r>
      <w:proofErr w:type="spellStart"/>
      <w:r>
        <w:rPr>
          <w:rFonts w:ascii="Times New Roman" w:hAnsi="Times New Roman"/>
          <w:color w:val="000000"/>
          <w:sz w:val="22"/>
        </w:rPr>
        <w:t>Experimentelle</w:t>
      </w:r>
      <w:proofErr w:type="spellEnd"/>
      <w:r>
        <w:rPr>
          <w:rFonts w:ascii="Times New Roman" w:hAnsi="Times New Roman"/>
          <w:color w:val="000000"/>
          <w:sz w:val="22"/>
        </w:rPr>
        <w:t xml:space="preserve"> </w:t>
      </w:r>
      <w:proofErr w:type="spellStart"/>
      <w:r>
        <w:rPr>
          <w:rFonts w:ascii="Times New Roman" w:hAnsi="Times New Roman"/>
          <w:color w:val="000000"/>
          <w:sz w:val="22"/>
        </w:rPr>
        <w:t>Studien</w:t>
      </w:r>
      <w:proofErr w:type="spellEnd"/>
      <w:r>
        <w:rPr>
          <w:rFonts w:ascii="Times New Roman" w:hAnsi="Times New Roman"/>
          <w:color w:val="000000"/>
          <w:sz w:val="22"/>
        </w:rPr>
        <w:t xml:space="preserve"> über die </w:t>
      </w:r>
      <w:proofErr w:type="spellStart"/>
      <w:r>
        <w:rPr>
          <w:rFonts w:ascii="Times New Roman" w:hAnsi="Times New Roman"/>
          <w:color w:val="000000"/>
          <w:sz w:val="22"/>
        </w:rPr>
        <w:t>Wirkung</w:t>
      </w:r>
      <w:proofErr w:type="spellEnd"/>
      <w:r>
        <w:rPr>
          <w:rFonts w:ascii="Times New Roman" w:hAnsi="Times New Roman"/>
          <w:color w:val="000000"/>
          <w:sz w:val="22"/>
        </w:rPr>
        <w:t xml:space="preserve"> des </w:t>
      </w:r>
      <w:proofErr w:type="spellStart"/>
      <w:r>
        <w:rPr>
          <w:rFonts w:ascii="Times New Roman" w:hAnsi="Times New Roman"/>
          <w:color w:val="000000"/>
          <w:sz w:val="22"/>
        </w:rPr>
        <w:t>Sonnenlichts</w:t>
      </w:r>
      <w:proofErr w:type="spellEnd"/>
      <w:r>
        <w:rPr>
          <w:rFonts w:ascii="Times New Roman" w:hAnsi="Times New Roman"/>
          <w:color w:val="000000"/>
          <w:sz w:val="22"/>
        </w:rPr>
        <w:t xml:space="preserve"> </w:t>
      </w:r>
      <w:proofErr w:type="spellStart"/>
      <w:r>
        <w:rPr>
          <w:rFonts w:ascii="Times New Roman" w:hAnsi="Times New Roman"/>
          <w:color w:val="000000"/>
          <w:sz w:val="22"/>
        </w:rPr>
        <w:t>auf</w:t>
      </w:r>
      <w:proofErr w:type="spellEnd"/>
      <w:r>
        <w:rPr>
          <w:rFonts w:ascii="Times New Roman" w:hAnsi="Times New Roman"/>
          <w:color w:val="000000"/>
          <w:sz w:val="22"/>
        </w:rPr>
        <w:t xml:space="preserve"> die Haut." </w:t>
      </w:r>
      <w:proofErr w:type="spellStart"/>
      <w:r>
        <w:rPr>
          <w:rFonts w:ascii="Times New Roman" w:hAnsi="Times New Roman"/>
          <w:color w:val="000000"/>
          <w:sz w:val="22"/>
        </w:rPr>
        <w:t>Archiv</w:t>
      </w:r>
      <w:proofErr w:type="spellEnd"/>
      <w:r>
        <w:rPr>
          <w:rFonts w:ascii="Times New Roman" w:hAnsi="Times New Roman"/>
          <w:color w:val="000000"/>
          <w:sz w:val="22"/>
        </w:rPr>
        <w:t xml:space="preserve"> </w:t>
      </w:r>
      <w:proofErr w:type="spellStart"/>
      <w:r>
        <w:rPr>
          <w:rFonts w:ascii="Times New Roman" w:hAnsi="Times New Roman"/>
          <w:color w:val="000000"/>
          <w:sz w:val="22"/>
        </w:rPr>
        <w:t>für</w:t>
      </w:r>
      <w:proofErr w:type="spellEnd"/>
      <w:r>
        <w:rPr>
          <w:rFonts w:ascii="Times New Roman" w:hAnsi="Times New Roman"/>
          <w:color w:val="000000"/>
          <w:sz w:val="22"/>
        </w:rPr>
        <w:t xml:space="preserve"> </w:t>
      </w:r>
      <w:proofErr w:type="spellStart"/>
      <w:r>
        <w:rPr>
          <w:rFonts w:ascii="Times New Roman" w:hAnsi="Times New Roman"/>
          <w:color w:val="000000"/>
          <w:sz w:val="22"/>
        </w:rPr>
        <w:t>Dermatologie</w:t>
      </w:r>
      <w:proofErr w:type="spellEnd"/>
      <w:r>
        <w:rPr>
          <w:rFonts w:ascii="Times New Roman" w:hAnsi="Times New Roman"/>
          <w:color w:val="000000"/>
          <w:sz w:val="22"/>
        </w:rPr>
        <w:t xml:space="preserve"> und Syphilis, 28, 1-22.</w:t>
      </w:r>
    </w:p>
    <w:p w14:paraId="687435A4" w14:textId="77777777" w:rsidR="00ED1981" w:rsidRDefault="00ED1981" w:rsidP="00ED1981">
      <w:pPr>
        <w:keepNext w:val="0"/>
        <w:keepLines w:val="0"/>
        <w:pageBreakBefore w:val="0"/>
        <w:widowControl/>
        <w:spacing w:before="0" w:after="140" w:line="252" w:lineRule="auto"/>
        <w:jc w:val="left"/>
      </w:pPr>
      <w:r>
        <w:rPr>
          <w:rFonts w:ascii="Times New Roman" w:hAnsi="Times New Roman"/>
          <w:sz w:val="22"/>
        </w:rPr>
        <w:t>4. Findlay, G. M. (1928). Ultra-violet Light and Skin Cancer. The Lancet, 212(5491), 1070–1073. https://doi.org/10.1016/S0140-6736(00)84845-X</w:t>
      </w:r>
    </w:p>
    <w:p w14:paraId="4D3AD5AE"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5. British Medical Journal. (1956). "The Dark Side of Sunshine." BMJ, 2(4992), 1032-1033.</w:t>
      </w:r>
    </w:p>
    <w:p w14:paraId="65244CC6"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6. Indian Council of Medical Research. (1963). Annual Report. New Delhi.</w:t>
      </w:r>
    </w:p>
    <w:p w14:paraId="3CA23C98"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7. World Health Organization. (2023). Radiation: Ultraviolet (UV) Radiation and Human Health. WHO Fact Sheet.</w:t>
      </w:r>
    </w:p>
    <w:p w14:paraId="36FB65F1" w14:textId="77777777" w:rsidR="00ED1981" w:rsidRDefault="00ED1981" w:rsidP="00ED1981">
      <w:pPr>
        <w:keepNext w:val="0"/>
        <w:keepLines w:val="0"/>
        <w:pageBreakBefore w:val="0"/>
        <w:widowControl/>
        <w:spacing w:before="0" w:after="140" w:line="252" w:lineRule="auto"/>
        <w:jc w:val="left"/>
      </w:pPr>
      <w:r>
        <w:rPr>
          <w:rFonts w:ascii="Times New Roman" w:hAnsi="Times New Roman"/>
          <w:color w:val="000000"/>
          <w:sz w:val="22"/>
        </w:rPr>
        <w:t>8. Oral interviews with cricket coaches and dermatologists, Amritsar, June-August 2025</w:t>
      </w:r>
    </w:p>
    <w:p>
      <w:pPr>
        <w:keepNext w:val="0"/>
        <w:widowControl/>
        <w:spacing w:after="140"/>
      </w:pPr>
      <w:r>
        <w:rPr>
          <w:rFonts w:ascii="Times New Roman" w:hAnsi="Times New Roman"/>
          <w:sz w:val="22"/>
        </w:rPr>
        <w:t>9. National Institute for Occupational Safety and Health. Sun Exposure at Work. https://www.cdc.gov/niosh/outdoor-workers/about/sun-exposure.html</w:t>
      </w:r>
    </w:p>
    <w:p>
      <w:pPr>
        <w:keepNext w:val="0"/>
        <w:widowControl/>
        <w:spacing w:after="140"/>
      </w:pPr>
      <w:r>
        <w:rPr>
          <w:rFonts w:ascii="Times New Roman" w:hAnsi="Times New Roman"/>
          <w:sz w:val="22"/>
        </w:rPr>
        <w:t>10. International Agency for Research on Cancer. (1992). Solar and Ultraviolet Radiation. IARC Monographs, Volume 55, Studies of Cancer in Animals. https://www.ncbi.nlm.nih.gov/books/NBK401582/</w:t>
      </w:r>
    </w:p>
    <w:sectPr w:rsidR="00ED1981" w:rsidRPr="00ED1981">
      <w:headerReference w:type="default" r:id="rId14"/>
      <w:footerReference w:type="default" r:id="rId15"/>
      <w:pgSz w:w="11909" w:h="16834"/>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88A"/>
    <w:multiLevelType w:val="hybridMultilevel"/>
    <w:tmpl w:val="F8EE4FD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3A1D88"/>
    <w:multiLevelType w:val="hybridMultilevel"/>
    <w:tmpl w:val="FFFFFFFF"/>
    <w:lvl w:ilvl="0" w:tplc="C742E422">
      <w:start w:val="1"/>
      <w:numFmt w:val="bullet"/>
      <w:lvlText w:val=""/>
      <w:lvlJc w:val="left"/>
      <w:pPr>
        <w:ind w:left="720" w:hanging="360"/>
      </w:pPr>
      <w:rPr>
        <w:rFonts w:ascii="Symbol" w:hAnsi="Symbol" w:hint="default"/>
      </w:rPr>
    </w:lvl>
    <w:lvl w:ilvl="1" w:tplc="6D14FA44">
      <w:start w:val="1"/>
      <w:numFmt w:val="bullet"/>
      <w:lvlText w:val="o"/>
      <w:lvlJc w:val="left"/>
      <w:pPr>
        <w:ind w:left="1440" w:hanging="360"/>
      </w:pPr>
      <w:rPr>
        <w:rFonts w:ascii="Courier New" w:hAnsi="Courier New" w:hint="default"/>
      </w:rPr>
    </w:lvl>
    <w:lvl w:ilvl="2" w:tplc="88D24BB8">
      <w:start w:val="1"/>
      <w:numFmt w:val="bullet"/>
      <w:lvlText w:val=""/>
      <w:lvlJc w:val="left"/>
      <w:pPr>
        <w:ind w:left="2160" w:hanging="360"/>
      </w:pPr>
      <w:rPr>
        <w:rFonts w:ascii="Wingdings" w:hAnsi="Wingdings" w:hint="default"/>
      </w:rPr>
    </w:lvl>
    <w:lvl w:ilvl="3" w:tplc="395CF646">
      <w:start w:val="1"/>
      <w:numFmt w:val="bullet"/>
      <w:lvlText w:val=""/>
      <w:lvlJc w:val="left"/>
      <w:pPr>
        <w:ind w:left="2880" w:hanging="360"/>
      </w:pPr>
      <w:rPr>
        <w:rFonts w:ascii="Symbol" w:hAnsi="Symbol" w:hint="default"/>
      </w:rPr>
    </w:lvl>
    <w:lvl w:ilvl="4" w:tplc="9E8E40CE">
      <w:start w:val="1"/>
      <w:numFmt w:val="bullet"/>
      <w:lvlText w:val="o"/>
      <w:lvlJc w:val="left"/>
      <w:pPr>
        <w:ind w:left="3600" w:hanging="360"/>
      </w:pPr>
      <w:rPr>
        <w:rFonts w:ascii="Courier New" w:hAnsi="Courier New" w:hint="default"/>
      </w:rPr>
    </w:lvl>
    <w:lvl w:ilvl="5" w:tplc="9DF09C82">
      <w:start w:val="1"/>
      <w:numFmt w:val="bullet"/>
      <w:lvlText w:val=""/>
      <w:lvlJc w:val="left"/>
      <w:pPr>
        <w:ind w:left="4320" w:hanging="360"/>
      </w:pPr>
      <w:rPr>
        <w:rFonts w:ascii="Wingdings" w:hAnsi="Wingdings" w:hint="default"/>
      </w:rPr>
    </w:lvl>
    <w:lvl w:ilvl="6" w:tplc="95F41ADC">
      <w:start w:val="1"/>
      <w:numFmt w:val="bullet"/>
      <w:lvlText w:val=""/>
      <w:lvlJc w:val="left"/>
      <w:pPr>
        <w:ind w:left="5040" w:hanging="360"/>
      </w:pPr>
      <w:rPr>
        <w:rFonts w:ascii="Symbol" w:hAnsi="Symbol" w:hint="default"/>
      </w:rPr>
    </w:lvl>
    <w:lvl w:ilvl="7" w:tplc="B8DE953A">
      <w:start w:val="1"/>
      <w:numFmt w:val="bullet"/>
      <w:lvlText w:val="o"/>
      <w:lvlJc w:val="left"/>
      <w:pPr>
        <w:ind w:left="5760" w:hanging="360"/>
      </w:pPr>
      <w:rPr>
        <w:rFonts w:ascii="Courier New" w:hAnsi="Courier New" w:hint="default"/>
      </w:rPr>
    </w:lvl>
    <w:lvl w:ilvl="8" w:tplc="5AD0611E">
      <w:start w:val="1"/>
      <w:numFmt w:val="bullet"/>
      <w:lvlText w:val=""/>
      <w:lvlJc w:val="left"/>
      <w:pPr>
        <w:ind w:left="6480" w:hanging="360"/>
      </w:pPr>
      <w:rPr>
        <w:rFonts w:ascii="Wingdings" w:hAnsi="Wingdings" w:hint="default"/>
      </w:rPr>
    </w:lvl>
  </w:abstractNum>
  <w:abstractNum w:abstractNumId="2" w15:restartNumberingAfterBreak="0">
    <w:nsid w:val="011D6F10"/>
    <w:multiLevelType w:val="hybridMultilevel"/>
    <w:tmpl w:val="AD3EC6E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3994015"/>
    <w:multiLevelType w:val="hybridMultilevel"/>
    <w:tmpl w:val="FFFFFFFF"/>
    <w:lvl w:ilvl="0" w:tplc="755E1E02">
      <w:start w:val="1"/>
      <w:numFmt w:val="bullet"/>
      <w:lvlText w:val=""/>
      <w:lvlJc w:val="left"/>
      <w:pPr>
        <w:ind w:left="720" w:hanging="360"/>
      </w:pPr>
      <w:rPr>
        <w:rFonts w:ascii="Symbol" w:hAnsi="Symbol" w:hint="default"/>
      </w:rPr>
    </w:lvl>
    <w:lvl w:ilvl="1" w:tplc="BB146954">
      <w:start w:val="1"/>
      <w:numFmt w:val="bullet"/>
      <w:lvlText w:val="o"/>
      <w:lvlJc w:val="left"/>
      <w:pPr>
        <w:ind w:left="1440" w:hanging="360"/>
      </w:pPr>
      <w:rPr>
        <w:rFonts w:ascii="Courier New" w:hAnsi="Courier New" w:hint="default"/>
      </w:rPr>
    </w:lvl>
    <w:lvl w:ilvl="2" w:tplc="4A701AA4">
      <w:start w:val="1"/>
      <w:numFmt w:val="bullet"/>
      <w:lvlText w:val=""/>
      <w:lvlJc w:val="left"/>
      <w:pPr>
        <w:ind w:left="2160" w:hanging="360"/>
      </w:pPr>
      <w:rPr>
        <w:rFonts w:ascii="Wingdings" w:hAnsi="Wingdings" w:hint="default"/>
      </w:rPr>
    </w:lvl>
    <w:lvl w:ilvl="3" w:tplc="6960FE60">
      <w:start w:val="1"/>
      <w:numFmt w:val="bullet"/>
      <w:lvlText w:val=""/>
      <w:lvlJc w:val="left"/>
      <w:pPr>
        <w:ind w:left="2880" w:hanging="360"/>
      </w:pPr>
      <w:rPr>
        <w:rFonts w:ascii="Symbol" w:hAnsi="Symbol" w:hint="default"/>
      </w:rPr>
    </w:lvl>
    <w:lvl w:ilvl="4" w:tplc="60D0A65E">
      <w:start w:val="1"/>
      <w:numFmt w:val="bullet"/>
      <w:lvlText w:val="o"/>
      <w:lvlJc w:val="left"/>
      <w:pPr>
        <w:ind w:left="3600" w:hanging="360"/>
      </w:pPr>
      <w:rPr>
        <w:rFonts w:ascii="Courier New" w:hAnsi="Courier New" w:hint="default"/>
      </w:rPr>
    </w:lvl>
    <w:lvl w:ilvl="5" w:tplc="CC987198">
      <w:start w:val="1"/>
      <w:numFmt w:val="bullet"/>
      <w:lvlText w:val=""/>
      <w:lvlJc w:val="left"/>
      <w:pPr>
        <w:ind w:left="4320" w:hanging="360"/>
      </w:pPr>
      <w:rPr>
        <w:rFonts w:ascii="Wingdings" w:hAnsi="Wingdings" w:hint="default"/>
      </w:rPr>
    </w:lvl>
    <w:lvl w:ilvl="6" w:tplc="3F1EDD5A">
      <w:start w:val="1"/>
      <w:numFmt w:val="bullet"/>
      <w:lvlText w:val=""/>
      <w:lvlJc w:val="left"/>
      <w:pPr>
        <w:ind w:left="5040" w:hanging="360"/>
      </w:pPr>
      <w:rPr>
        <w:rFonts w:ascii="Symbol" w:hAnsi="Symbol" w:hint="default"/>
      </w:rPr>
    </w:lvl>
    <w:lvl w:ilvl="7" w:tplc="40F2EBA2">
      <w:start w:val="1"/>
      <w:numFmt w:val="bullet"/>
      <w:lvlText w:val="o"/>
      <w:lvlJc w:val="left"/>
      <w:pPr>
        <w:ind w:left="5760" w:hanging="360"/>
      </w:pPr>
      <w:rPr>
        <w:rFonts w:ascii="Courier New" w:hAnsi="Courier New" w:hint="default"/>
      </w:rPr>
    </w:lvl>
    <w:lvl w:ilvl="8" w:tplc="55B4632C">
      <w:start w:val="1"/>
      <w:numFmt w:val="bullet"/>
      <w:lvlText w:val=""/>
      <w:lvlJc w:val="left"/>
      <w:pPr>
        <w:ind w:left="6480" w:hanging="360"/>
      </w:pPr>
      <w:rPr>
        <w:rFonts w:ascii="Wingdings" w:hAnsi="Wingdings" w:hint="default"/>
      </w:rPr>
    </w:lvl>
  </w:abstractNum>
  <w:abstractNum w:abstractNumId="4" w15:restartNumberingAfterBreak="0">
    <w:nsid w:val="0BB4C60E"/>
    <w:multiLevelType w:val="hybridMultilevel"/>
    <w:tmpl w:val="FFFFFFFF"/>
    <w:lvl w:ilvl="0" w:tplc="CDA0E9DE">
      <w:start w:val="1"/>
      <w:numFmt w:val="decimal"/>
      <w:lvlText w:val="%1."/>
      <w:lvlJc w:val="left"/>
      <w:pPr>
        <w:ind w:left="720" w:hanging="360"/>
      </w:pPr>
    </w:lvl>
    <w:lvl w:ilvl="1" w:tplc="9BD47EC6">
      <w:start w:val="1"/>
      <w:numFmt w:val="lowerLetter"/>
      <w:lvlText w:val="%2."/>
      <w:lvlJc w:val="left"/>
      <w:pPr>
        <w:ind w:left="1440" w:hanging="360"/>
      </w:pPr>
    </w:lvl>
    <w:lvl w:ilvl="2" w:tplc="D1E497C8">
      <w:start w:val="1"/>
      <w:numFmt w:val="lowerRoman"/>
      <w:lvlText w:val="%3."/>
      <w:lvlJc w:val="right"/>
      <w:pPr>
        <w:ind w:left="2160" w:hanging="180"/>
      </w:pPr>
    </w:lvl>
    <w:lvl w:ilvl="3" w:tplc="65527B40">
      <w:start w:val="1"/>
      <w:numFmt w:val="decimal"/>
      <w:lvlText w:val="%4."/>
      <w:lvlJc w:val="left"/>
      <w:pPr>
        <w:ind w:left="2880" w:hanging="360"/>
      </w:pPr>
    </w:lvl>
    <w:lvl w:ilvl="4" w:tplc="D490498A">
      <w:start w:val="1"/>
      <w:numFmt w:val="lowerLetter"/>
      <w:lvlText w:val="%5."/>
      <w:lvlJc w:val="left"/>
      <w:pPr>
        <w:ind w:left="3600" w:hanging="360"/>
      </w:pPr>
    </w:lvl>
    <w:lvl w:ilvl="5" w:tplc="C980DD84">
      <w:start w:val="1"/>
      <w:numFmt w:val="lowerRoman"/>
      <w:lvlText w:val="%6."/>
      <w:lvlJc w:val="right"/>
      <w:pPr>
        <w:ind w:left="4320" w:hanging="180"/>
      </w:pPr>
    </w:lvl>
    <w:lvl w:ilvl="6" w:tplc="C6DA4D86">
      <w:start w:val="1"/>
      <w:numFmt w:val="decimal"/>
      <w:lvlText w:val="%7."/>
      <w:lvlJc w:val="left"/>
      <w:pPr>
        <w:ind w:left="5040" w:hanging="360"/>
      </w:pPr>
    </w:lvl>
    <w:lvl w:ilvl="7" w:tplc="95A0A6CA">
      <w:start w:val="1"/>
      <w:numFmt w:val="lowerLetter"/>
      <w:lvlText w:val="%8."/>
      <w:lvlJc w:val="left"/>
      <w:pPr>
        <w:ind w:left="5760" w:hanging="360"/>
      </w:pPr>
    </w:lvl>
    <w:lvl w:ilvl="8" w:tplc="18F84FBE">
      <w:start w:val="1"/>
      <w:numFmt w:val="lowerRoman"/>
      <w:lvlText w:val="%9."/>
      <w:lvlJc w:val="right"/>
      <w:pPr>
        <w:ind w:left="6480" w:hanging="180"/>
      </w:pPr>
    </w:lvl>
  </w:abstractNum>
  <w:abstractNum w:abstractNumId="5" w15:restartNumberingAfterBreak="0">
    <w:nsid w:val="0F3A8042"/>
    <w:multiLevelType w:val="hybridMultilevel"/>
    <w:tmpl w:val="FFFFFFFF"/>
    <w:lvl w:ilvl="0" w:tplc="07082452">
      <w:start w:val="1"/>
      <w:numFmt w:val="bullet"/>
      <w:lvlText w:val=""/>
      <w:lvlJc w:val="left"/>
      <w:pPr>
        <w:ind w:left="720" w:hanging="360"/>
      </w:pPr>
      <w:rPr>
        <w:rFonts w:ascii="Symbol" w:hAnsi="Symbol" w:hint="default"/>
      </w:rPr>
    </w:lvl>
    <w:lvl w:ilvl="1" w:tplc="C25E3A42">
      <w:start w:val="1"/>
      <w:numFmt w:val="bullet"/>
      <w:lvlText w:val="o"/>
      <w:lvlJc w:val="left"/>
      <w:pPr>
        <w:ind w:left="1440" w:hanging="360"/>
      </w:pPr>
      <w:rPr>
        <w:rFonts w:ascii="Courier New" w:hAnsi="Courier New" w:hint="default"/>
      </w:rPr>
    </w:lvl>
    <w:lvl w:ilvl="2" w:tplc="86C01E5A">
      <w:start w:val="1"/>
      <w:numFmt w:val="bullet"/>
      <w:lvlText w:val=""/>
      <w:lvlJc w:val="left"/>
      <w:pPr>
        <w:ind w:left="2160" w:hanging="360"/>
      </w:pPr>
      <w:rPr>
        <w:rFonts w:ascii="Wingdings" w:hAnsi="Wingdings" w:hint="default"/>
      </w:rPr>
    </w:lvl>
    <w:lvl w:ilvl="3" w:tplc="E2DC8D6A">
      <w:start w:val="1"/>
      <w:numFmt w:val="bullet"/>
      <w:lvlText w:val=""/>
      <w:lvlJc w:val="left"/>
      <w:pPr>
        <w:ind w:left="2880" w:hanging="360"/>
      </w:pPr>
      <w:rPr>
        <w:rFonts w:ascii="Symbol" w:hAnsi="Symbol" w:hint="default"/>
      </w:rPr>
    </w:lvl>
    <w:lvl w:ilvl="4" w:tplc="B0D43284">
      <w:start w:val="1"/>
      <w:numFmt w:val="bullet"/>
      <w:lvlText w:val="o"/>
      <w:lvlJc w:val="left"/>
      <w:pPr>
        <w:ind w:left="3600" w:hanging="360"/>
      </w:pPr>
      <w:rPr>
        <w:rFonts w:ascii="Courier New" w:hAnsi="Courier New" w:hint="default"/>
      </w:rPr>
    </w:lvl>
    <w:lvl w:ilvl="5" w:tplc="67664592">
      <w:start w:val="1"/>
      <w:numFmt w:val="bullet"/>
      <w:lvlText w:val=""/>
      <w:lvlJc w:val="left"/>
      <w:pPr>
        <w:ind w:left="4320" w:hanging="360"/>
      </w:pPr>
      <w:rPr>
        <w:rFonts w:ascii="Wingdings" w:hAnsi="Wingdings" w:hint="default"/>
      </w:rPr>
    </w:lvl>
    <w:lvl w:ilvl="6" w:tplc="8326E41E">
      <w:start w:val="1"/>
      <w:numFmt w:val="bullet"/>
      <w:lvlText w:val=""/>
      <w:lvlJc w:val="left"/>
      <w:pPr>
        <w:ind w:left="5040" w:hanging="360"/>
      </w:pPr>
      <w:rPr>
        <w:rFonts w:ascii="Symbol" w:hAnsi="Symbol" w:hint="default"/>
      </w:rPr>
    </w:lvl>
    <w:lvl w:ilvl="7" w:tplc="D326DF7E">
      <w:start w:val="1"/>
      <w:numFmt w:val="bullet"/>
      <w:lvlText w:val="o"/>
      <w:lvlJc w:val="left"/>
      <w:pPr>
        <w:ind w:left="5760" w:hanging="360"/>
      </w:pPr>
      <w:rPr>
        <w:rFonts w:ascii="Courier New" w:hAnsi="Courier New" w:hint="default"/>
      </w:rPr>
    </w:lvl>
    <w:lvl w:ilvl="8" w:tplc="5E4A95DC">
      <w:start w:val="1"/>
      <w:numFmt w:val="bullet"/>
      <w:lvlText w:val=""/>
      <w:lvlJc w:val="left"/>
      <w:pPr>
        <w:ind w:left="6480" w:hanging="360"/>
      </w:pPr>
      <w:rPr>
        <w:rFonts w:ascii="Wingdings" w:hAnsi="Wingdings" w:hint="default"/>
      </w:rPr>
    </w:lvl>
  </w:abstractNum>
  <w:abstractNum w:abstractNumId="6" w15:restartNumberingAfterBreak="0">
    <w:nsid w:val="13F6760A"/>
    <w:multiLevelType w:val="hybridMultilevel"/>
    <w:tmpl w:val="09822CC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9F294A9"/>
    <w:multiLevelType w:val="hybridMultilevel"/>
    <w:tmpl w:val="FFFFFFFF"/>
    <w:lvl w:ilvl="0" w:tplc="7566341E">
      <w:start w:val="1"/>
      <w:numFmt w:val="bullet"/>
      <w:lvlText w:val=""/>
      <w:lvlJc w:val="left"/>
      <w:pPr>
        <w:ind w:left="720" w:hanging="360"/>
      </w:pPr>
      <w:rPr>
        <w:rFonts w:ascii="Symbol" w:hAnsi="Symbol" w:hint="default"/>
      </w:rPr>
    </w:lvl>
    <w:lvl w:ilvl="1" w:tplc="C196358A">
      <w:start w:val="1"/>
      <w:numFmt w:val="bullet"/>
      <w:lvlText w:val="o"/>
      <w:lvlJc w:val="left"/>
      <w:pPr>
        <w:ind w:left="1440" w:hanging="360"/>
      </w:pPr>
      <w:rPr>
        <w:rFonts w:ascii="Courier New" w:hAnsi="Courier New" w:hint="default"/>
      </w:rPr>
    </w:lvl>
    <w:lvl w:ilvl="2" w:tplc="538E00FC">
      <w:start w:val="1"/>
      <w:numFmt w:val="bullet"/>
      <w:lvlText w:val=""/>
      <w:lvlJc w:val="left"/>
      <w:pPr>
        <w:ind w:left="2160" w:hanging="360"/>
      </w:pPr>
      <w:rPr>
        <w:rFonts w:ascii="Wingdings" w:hAnsi="Wingdings" w:hint="default"/>
      </w:rPr>
    </w:lvl>
    <w:lvl w:ilvl="3" w:tplc="320ED41C">
      <w:start w:val="1"/>
      <w:numFmt w:val="bullet"/>
      <w:lvlText w:val=""/>
      <w:lvlJc w:val="left"/>
      <w:pPr>
        <w:ind w:left="2880" w:hanging="360"/>
      </w:pPr>
      <w:rPr>
        <w:rFonts w:ascii="Symbol" w:hAnsi="Symbol" w:hint="default"/>
      </w:rPr>
    </w:lvl>
    <w:lvl w:ilvl="4" w:tplc="CCA67418">
      <w:start w:val="1"/>
      <w:numFmt w:val="bullet"/>
      <w:lvlText w:val="o"/>
      <w:lvlJc w:val="left"/>
      <w:pPr>
        <w:ind w:left="3600" w:hanging="360"/>
      </w:pPr>
      <w:rPr>
        <w:rFonts w:ascii="Courier New" w:hAnsi="Courier New" w:hint="default"/>
      </w:rPr>
    </w:lvl>
    <w:lvl w:ilvl="5" w:tplc="281AEFEC">
      <w:start w:val="1"/>
      <w:numFmt w:val="bullet"/>
      <w:lvlText w:val=""/>
      <w:lvlJc w:val="left"/>
      <w:pPr>
        <w:ind w:left="4320" w:hanging="360"/>
      </w:pPr>
      <w:rPr>
        <w:rFonts w:ascii="Wingdings" w:hAnsi="Wingdings" w:hint="default"/>
      </w:rPr>
    </w:lvl>
    <w:lvl w:ilvl="6" w:tplc="B22498B0">
      <w:start w:val="1"/>
      <w:numFmt w:val="bullet"/>
      <w:lvlText w:val=""/>
      <w:lvlJc w:val="left"/>
      <w:pPr>
        <w:ind w:left="5040" w:hanging="360"/>
      </w:pPr>
      <w:rPr>
        <w:rFonts w:ascii="Symbol" w:hAnsi="Symbol" w:hint="default"/>
      </w:rPr>
    </w:lvl>
    <w:lvl w:ilvl="7" w:tplc="1A048D7A">
      <w:start w:val="1"/>
      <w:numFmt w:val="bullet"/>
      <w:lvlText w:val="o"/>
      <w:lvlJc w:val="left"/>
      <w:pPr>
        <w:ind w:left="5760" w:hanging="360"/>
      </w:pPr>
      <w:rPr>
        <w:rFonts w:ascii="Courier New" w:hAnsi="Courier New" w:hint="default"/>
      </w:rPr>
    </w:lvl>
    <w:lvl w:ilvl="8" w:tplc="289C5F88">
      <w:start w:val="1"/>
      <w:numFmt w:val="bullet"/>
      <w:lvlText w:val=""/>
      <w:lvlJc w:val="left"/>
      <w:pPr>
        <w:ind w:left="6480" w:hanging="360"/>
      </w:pPr>
      <w:rPr>
        <w:rFonts w:ascii="Wingdings" w:hAnsi="Wingdings" w:hint="default"/>
      </w:rPr>
    </w:lvl>
  </w:abstractNum>
  <w:abstractNum w:abstractNumId="8" w15:restartNumberingAfterBreak="0">
    <w:nsid w:val="1B676DDE"/>
    <w:multiLevelType w:val="multilevel"/>
    <w:tmpl w:val="764E1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C9187"/>
    <w:multiLevelType w:val="hybridMultilevel"/>
    <w:tmpl w:val="FFFFFFFF"/>
    <w:lvl w:ilvl="0" w:tplc="57A49194">
      <w:start w:val="1"/>
      <w:numFmt w:val="bullet"/>
      <w:lvlText w:val=""/>
      <w:lvlJc w:val="left"/>
      <w:pPr>
        <w:ind w:left="720" w:hanging="360"/>
      </w:pPr>
      <w:rPr>
        <w:rFonts w:ascii="Symbol" w:hAnsi="Symbol" w:hint="default"/>
      </w:rPr>
    </w:lvl>
    <w:lvl w:ilvl="1" w:tplc="69DEE7E8">
      <w:start w:val="1"/>
      <w:numFmt w:val="bullet"/>
      <w:lvlText w:val="o"/>
      <w:lvlJc w:val="left"/>
      <w:pPr>
        <w:ind w:left="1440" w:hanging="360"/>
      </w:pPr>
      <w:rPr>
        <w:rFonts w:ascii="Courier New" w:hAnsi="Courier New" w:hint="default"/>
      </w:rPr>
    </w:lvl>
    <w:lvl w:ilvl="2" w:tplc="4184CACE">
      <w:start w:val="1"/>
      <w:numFmt w:val="bullet"/>
      <w:lvlText w:val=""/>
      <w:lvlJc w:val="left"/>
      <w:pPr>
        <w:ind w:left="2160" w:hanging="360"/>
      </w:pPr>
      <w:rPr>
        <w:rFonts w:ascii="Wingdings" w:hAnsi="Wingdings" w:hint="default"/>
      </w:rPr>
    </w:lvl>
    <w:lvl w:ilvl="3" w:tplc="E0825A8E">
      <w:start w:val="1"/>
      <w:numFmt w:val="bullet"/>
      <w:lvlText w:val=""/>
      <w:lvlJc w:val="left"/>
      <w:pPr>
        <w:ind w:left="2880" w:hanging="360"/>
      </w:pPr>
      <w:rPr>
        <w:rFonts w:ascii="Symbol" w:hAnsi="Symbol" w:hint="default"/>
      </w:rPr>
    </w:lvl>
    <w:lvl w:ilvl="4" w:tplc="8CF416A8">
      <w:start w:val="1"/>
      <w:numFmt w:val="bullet"/>
      <w:lvlText w:val="o"/>
      <w:lvlJc w:val="left"/>
      <w:pPr>
        <w:ind w:left="3600" w:hanging="360"/>
      </w:pPr>
      <w:rPr>
        <w:rFonts w:ascii="Courier New" w:hAnsi="Courier New" w:hint="default"/>
      </w:rPr>
    </w:lvl>
    <w:lvl w:ilvl="5" w:tplc="79ECEF72">
      <w:start w:val="1"/>
      <w:numFmt w:val="bullet"/>
      <w:lvlText w:val=""/>
      <w:lvlJc w:val="left"/>
      <w:pPr>
        <w:ind w:left="4320" w:hanging="360"/>
      </w:pPr>
      <w:rPr>
        <w:rFonts w:ascii="Wingdings" w:hAnsi="Wingdings" w:hint="default"/>
      </w:rPr>
    </w:lvl>
    <w:lvl w:ilvl="6" w:tplc="A2924148">
      <w:start w:val="1"/>
      <w:numFmt w:val="bullet"/>
      <w:lvlText w:val=""/>
      <w:lvlJc w:val="left"/>
      <w:pPr>
        <w:ind w:left="5040" w:hanging="360"/>
      </w:pPr>
      <w:rPr>
        <w:rFonts w:ascii="Symbol" w:hAnsi="Symbol" w:hint="default"/>
      </w:rPr>
    </w:lvl>
    <w:lvl w:ilvl="7" w:tplc="EEAE4730">
      <w:start w:val="1"/>
      <w:numFmt w:val="bullet"/>
      <w:lvlText w:val="o"/>
      <w:lvlJc w:val="left"/>
      <w:pPr>
        <w:ind w:left="5760" w:hanging="360"/>
      </w:pPr>
      <w:rPr>
        <w:rFonts w:ascii="Courier New" w:hAnsi="Courier New" w:hint="default"/>
      </w:rPr>
    </w:lvl>
    <w:lvl w:ilvl="8" w:tplc="878A4A8E">
      <w:start w:val="1"/>
      <w:numFmt w:val="bullet"/>
      <w:lvlText w:val=""/>
      <w:lvlJc w:val="left"/>
      <w:pPr>
        <w:ind w:left="6480" w:hanging="360"/>
      </w:pPr>
      <w:rPr>
        <w:rFonts w:ascii="Wingdings" w:hAnsi="Wingdings" w:hint="default"/>
      </w:rPr>
    </w:lvl>
  </w:abstractNum>
  <w:abstractNum w:abstractNumId="10" w15:restartNumberingAfterBreak="0">
    <w:nsid w:val="1DAAA41A"/>
    <w:multiLevelType w:val="hybridMultilevel"/>
    <w:tmpl w:val="FFFFFFFF"/>
    <w:lvl w:ilvl="0" w:tplc="F0AC9B52">
      <w:start w:val="1"/>
      <w:numFmt w:val="bullet"/>
      <w:lvlText w:val=""/>
      <w:lvlJc w:val="left"/>
      <w:pPr>
        <w:ind w:left="720" w:hanging="360"/>
      </w:pPr>
      <w:rPr>
        <w:rFonts w:ascii="Symbol" w:hAnsi="Symbol" w:hint="default"/>
      </w:rPr>
    </w:lvl>
    <w:lvl w:ilvl="1" w:tplc="046E6194">
      <w:start w:val="1"/>
      <w:numFmt w:val="bullet"/>
      <w:lvlText w:val="o"/>
      <w:lvlJc w:val="left"/>
      <w:pPr>
        <w:ind w:left="1440" w:hanging="360"/>
      </w:pPr>
      <w:rPr>
        <w:rFonts w:ascii="Courier New" w:hAnsi="Courier New" w:hint="default"/>
      </w:rPr>
    </w:lvl>
    <w:lvl w:ilvl="2" w:tplc="DC8EB762">
      <w:start w:val="1"/>
      <w:numFmt w:val="bullet"/>
      <w:lvlText w:val=""/>
      <w:lvlJc w:val="left"/>
      <w:pPr>
        <w:ind w:left="2160" w:hanging="360"/>
      </w:pPr>
      <w:rPr>
        <w:rFonts w:ascii="Wingdings" w:hAnsi="Wingdings" w:hint="default"/>
      </w:rPr>
    </w:lvl>
    <w:lvl w:ilvl="3" w:tplc="A1F6D356">
      <w:start w:val="1"/>
      <w:numFmt w:val="bullet"/>
      <w:lvlText w:val=""/>
      <w:lvlJc w:val="left"/>
      <w:pPr>
        <w:ind w:left="2880" w:hanging="360"/>
      </w:pPr>
      <w:rPr>
        <w:rFonts w:ascii="Symbol" w:hAnsi="Symbol" w:hint="default"/>
      </w:rPr>
    </w:lvl>
    <w:lvl w:ilvl="4" w:tplc="163EB90C">
      <w:start w:val="1"/>
      <w:numFmt w:val="bullet"/>
      <w:lvlText w:val="o"/>
      <w:lvlJc w:val="left"/>
      <w:pPr>
        <w:ind w:left="3600" w:hanging="360"/>
      </w:pPr>
      <w:rPr>
        <w:rFonts w:ascii="Courier New" w:hAnsi="Courier New" w:hint="default"/>
      </w:rPr>
    </w:lvl>
    <w:lvl w:ilvl="5" w:tplc="82A67ADC">
      <w:start w:val="1"/>
      <w:numFmt w:val="bullet"/>
      <w:lvlText w:val=""/>
      <w:lvlJc w:val="left"/>
      <w:pPr>
        <w:ind w:left="4320" w:hanging="360"/>
      </w:pPr>
      <w:rPr>
        <w:rFonts w:ascii="Wingdings" w:hAnsi="Wingdings" w:hint="default"/>
      </w:rPr>
    </w:lvl>
    <w:lvl w:ilvl="6" w:tplc="EDA2063A">
      <w:start w:val="1"/>
      <w:numFmt w:val="bullet"/>
      <w:lvlText w:val=""/>
      <w:lvlJc w:val="left"/>
      <w:pPr>
        <w:ind w:left="5040" w:hanging="360"/>
      </w:pPr>
      <w:rPr>
        <w:rFonts w:ascii="Symbol" w:hAnsi="Symbol" w:hint="default"/>
      </w:rPr>
    </w:lvl>
    <w:lvl w:ilvl="7" w:tplc="58228F8C">
      <w:start w:val="1"/>
      <w:numFmt w:val="bullet"/>
      <w:lvlText w:val="o"/>
      <w:lvlJc w:val="left"/>
      <w:pPr>
        <w:ind w:left="5760" w:hanging="360"/>
      </w:pPr>
      <w:rPr>
        <w:rFonts w:ascii="Courier New" w:hAnsi="Courier New" w:hint="default"/>
      </w:rPr>
    </w:lvl>
    <w:lvl w:ilvl="8" w:tplc="5AA276BA">
      <w:start w:val="1"/>
      <w:numFmt w:val="bullet"/>
      <w:lvlText w:val=""/>
      <w:lvlJc w:val="left"/>
      <w:pPr>
        <w:ind w:left="6480" w:hanging="360"/>
      </w:pPr>
      <w:rPr>
        <w:rFonts w:ascii="Wingdings" w:hAnsi="Wingdings" w:hint="default"/>
      </w:rPr>
    </w:lvl>
  </w:abstractNum>
  <w:abstractNum w:abstractNumId="11" w15:restartNumberingAfterBreak="0">
    <w:nsid w:val="27D30930"/>
    <w:multiLevelType w:val="hybridMultilevel"/>
    <w:tmpl w:val="B8984394"/>
    <w:lvl w:ilvl="0" w:tplc="2FFA01DC">
      <w:start w:val="1"/>
      <w:numFmt w:val="decimal"/>
      <w:lvlText w:val="%1."/>
      <w:lvlJc w:val="left"/>
      <w:pPr>
        <w:ind w:left="930" w:hanging="570"/>
      </w:pPr>
      <w:rPr>
        <w:rFonts w:ascii="Calibri Light" w:eastAsia="Calibri Light" w:hAnsi="Calibri Light" w:cs="Calibri Light" w:hint="default"/>
        <w:sz w:val="7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8312A0F"/>
    <w:multiLevelType w:val="hybridMultilevel"/>
    <w:tmpl w:val="67DCF0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CA5F744"/>
    <w:multiLevelType w:val="hybridMultilevel"/>
    <w:tmpl w:val="FFFFFFFF"/>
    <w:lvl w:ilvl="0" w:tplc="D23E1608">
      <w:start w:val="1"/>
      <w:numFmt w:val="decimal"/>
      <w:lvlText w:val="%1."/>
      <w:lvlJc w:val="left"/>
      <w:pPr>
        <w:ind w:left="720" w:hanging="360"/>
      </w:pPr>
    </w:lvl>
    <w:lvl w:ilvl="1" w:tplc="7098EB16">
      <w:start w:val="1"/>
      <w:numFmt w:val="lowerLetter"/>
      <w:lvlText w:val="%2."/>
      <w:lvlJc w:val="left"/>
      <w:pPr>
        <w:ind w:left="1440" w:hanging="360"/>
      </w:pPr>
    </w:lvl>
    <w:lvl w:ilvl="2" w:tplc="6B565AD8">
      <w:start w:val="1"/>
      <w:numFmt w:val="lowerRoman"/>
      <w:lvlText w:val="%3."/>
      <w:lvlJc w:val="right"/>
      <w:pPr>
        <w:ind w:left="2160" w:hanging="180"/>
      </w:pPr>
    </w:lvl>
    <w:lvl w:ilvl="3" w:tplc="95F66C50">
      <w:start w:val="1"/>
      <w:numFmt w:val="decimal"/>
      <w:lvlText w:val="%4."/>
      <w:lvlJc w:val="left"/>
      <w:pPr>
        <w:ind w:left="2880" w:hanging="360"/>
      </w:pPr>
    </w:lvl>
    <w:lvl w:ilvl="4" w:tplc="A2589062">
      <w:start w:val="1"/>
      <w:numFmt w:val="lowerLetter"/>
      <w:lvlText w:val="%5."/>
      <w:lvlJc w:val="left"/>
      <w:pPr>
        <w:ind w:left="3600" w:hanging="360"/>
      </w:pPr>
    </w:lvl>
    <w:lvl w:ilvl="5" w:tplc="A3DA4A66">
      <w:start w:val="1"/>
      <w:numFmt w:val="lowerRoman"/>
      <w:lvlText w:val="%6."/>
      <w:lvlJc w:val="right"/>
      <w:pPr>
        <w:ind w:left="4320" w:hanging="180"/>
      </w:pPr>
    </w:lvl>
    <w:lvl w:ilvl="6" w:tplc="B1EA0646">
      <w:start w:val="1"/>
      <w:numFmt w:val="decimal"/>
      <w:lvlText w:val="%7."/>
      <w:lvlJc w:val="left"/>
      <w:pPr>
        <w:ind w:left="5040" w:hanging="360"/>
      </w:pPr>
    </w:lvl>
    <w:lvl w:ilvl="7" w:tplc="0C300B2A">
      <w:start w:val="1"/>
      <w:numFmt w:val="lowerLetter"/>
      <w:lvlText w:val="%8."/>
      <w:lvlJc w:val="left"/>
      <w:pPr>
        <w:ind w:left="5760" w:hanging="360"/>
      </w:pPr>
    </w:lvl>
    <w:lvl w:ilvl="8" w:tplc="C8A27D50">
      <w:start w:val="1"/>
      <w:numFmt w:val="lowerRoman"/>
      <w:lvlText w:val="%9."/>
      <w:lvlJc w:val="right"/>
      <w:pPr>
        <w:ind w:left="6480" w:hanging="180"/>
      </w:pPr>
    </w:lvl>
  </w:abstractNum>
  <w:abstractNum w:abstractNumId="14" w15:restartNumberingAfterBreak="0">
    <w:nsid w:val="2EE839FA"/>
    <w:multiLevelType w:val="hybridMultilevel"/>
    <w:tmpl w:val="79F40F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80842AE"/>
    <w:multiLevelType w:val="hybridMultilevel"/>
    <w:tmpl w:val="FFFFFFFF"/>
    <w:lvl w:ilvl="0" w:tplc="00400CCE">
      <w:start w:val="1"/>
      <w:numFmt w:val="bullet"/>
      <w:lvlText w:val=""/>
      <w:lvlJc w:val="left"/>
      <w:pPr>
        <w:ind w:left="720" w:hanging="360"/>
      </w:pPr>
      <w:rPr>
        <w:rFonts w:ascii="Symbol" w:hAnsi="Symbol" w:hint="default"/>
      </w:rPr>
    </w:lvl>
    <w:lvl w:ilvl="1" w:tplc="8EF84514">
      <w:start w:val="1"/>
      <w:numFmt w:val="bullet"/>
      <w:lvlText w:val="o"/>
      <w:lvlJc w:val="left"/>
      <w:pPr>
        <w:ind w:left="1440" w:hanging="360"/>
      </w:pPr>
      <w:rPr>
        <w:rFonts w:ascii="Courier New" w:hAnsi="Courier New" w:hint="default"/>
      </w:rPr>
    </w:lvl>
    <w:lvl w:ilvl="2" w:tplc="8CD2FCA2">
      <w:start w:val="1"/>
      <w:numFmt w:val="bullet"/>
      <w:lvlText w:val=""/>
      <w:lvlJc w:val="left"/>
      <w:pPr>
        <w:ind w:left="2160" w:hanging="360"/>
      </w:pPr>
      <w:rPr>
        <w:rFonts w:ascii="Wingdings" w:hAnsi="Wingdings" w:hint="default"/>
      </w:rPr>
    </w:lvl>
    <w:lvl w:ilvl="3" w:tplc="86ECA588">
      <w:start w:val="1"/>
      <w:numFmt w:val="bullet"/>
      <w:lvlText w:val=""/>
      <w:lvlJc w:val="left"/>
      <w:pPr>
        <w:ind w:left="2880" w:hanging="360"/>
      </w:pPr>
      <w:rPr>
        <w:rFonts w:ascii="Symbol" w:hAnsi="Symbol" w:hint="default"/>
      </w:rPr>
    </w:lvl>
    <w:lvl w:ilvl="4" w:tplc="C59ED922">
      <w:start w:val="1"/>
      <w:numFmt w:val="bullet"/>
      <w:lvlText w:val="o"/>
      <w:lvlJc w:val="left"/>
      <w:pPr>
        <w:ind w:left="3600" w:hanging="360"/>
      </w:pPr>
      <w:rPr>
        <w:rFonts w:ascii="Courier New" w:hAnsi="Courier New" w:hint="default"/>
      </w:rPr>
    </w:lvl>
    <w:lvl w:ilvl="5" w:tplc="A8D46822">
      <w:start w:val="1"/>
      <w:numFmt w:val="bullet"/>
      <w:lvlText w:val=""/>
      <w:lvlJc w:val="left"/>
      <w:pPr>
        <w:ind w:left="4320" w:hanging="360"/>
      </w:pPr>
      <w:rPr>
        <w:rFonts w:ascii="Wingdings" w:hAnsi="Wingdings" w:hint="default"/>
      </w:rPr>
    </w:lvl>
    <w:lvl w:ilvl="6" w:tplc="64F69F42">
      <w:start w:val="1"/>
      <w:numFmt w:val="bullet"/>
      <w:lvlText w:val=""/>
      <w:lvlJc w:val="left"/>
      <w:pPr>
        <w:ind w:left="5040" w:hanging="360"/>
      </w:pPr>
      <w:rPr>
        <w:rFonts w:ascii="Symbol" w:hAnsi="Symbol" w:hint="default"/>
      </w:rPr>
    </w:lvl>
    <w:lvl w:ilvl="7" w:tplc="4CC45906">
      <w:start w:val="1"/>
      <w:numFmt w:val="bullet"/>
      <w:lvlText w:val="o"/>
      <w:lvlJc w:val="left"/>
      <w:pPr>
        <w:ind w:left="5760" w:hanging="360"/>
      </w:pPr>
      <w:rPr>
        <w:rFonts w:ascii="Courier New" w:hAnsi="Courier New" w:hint="default"/>
      </w:rPr>
    </w:lvl>
    <w:lvl w:ilvl="8" w:tplc="D258FA6A">
      <w:start w:val="1"/>
      <w:numFmt w:val="bullet"/>
      <w:lvlText w:val=""/>
      <w:lvlJc w:val="left"/>
      <w:pPr>
        <w:ind w:left="6480" w:hanging="360"/>
      </w:pPr>
      <w:rPr>
        <w:rFonts w:ascii="Wingdings" w:hAnsi="Wingdings" w:hint="default"/>
      </w:rPr>
    </w:lvl>
  </w:abstractNum>
  <w:abstractNum w:abstractNumId="16" w15:restartNumberingAfterBreak="0">
    <w:nsid w:val="5B285381"/>
    <w:multiLevelType w:val="hybridMultilevel"/>
    <w:tmpl w:val="4D0C29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0CB16A2"/>
    <w:multiLevelType w:val="multilevel"/>
    <w:tmpl w:val="D90E8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BD883F"/>
    <w:multiLevelType w:val="hybridMultilevel"/>
    <w:tmpl w:val="FFFFFFFF"/>
    <w:lvl w:ilvl="0" w:tplc="10C6DD70">
      <w:start w:val="1"/>
      <w:numFmt w:val="bullet"/>
      <w:lvlText w:val=""/>
      <w:lvlJc w:val="left"/>
      <w:pPr>
        <w:ind w:left="720" w:hanging="360"/>
      </w:pPr>
      <w:rPr>
        <w:rFonts w:ascii="Symbol" w:hAnsi="Symbol" w:hint="default"/>
      </w:rPr>
    </w:lvl>
    <w:lvl w:ilvl="1" w:tplc="8B2ED0CC">
      <w:start w:val="1"/>
      <w:numFmt w:val="bullet"/>
      <w:lvlText w:val="o"/>
      <w:lvlJc w:val="left"/>
      <w:pPr>
        <w:ind w:left="1440" w:hanging="360"/>
      </w:pPr>
      <w:rPr>
        <w:rFonts w:ascii="Courier New" w:hAnsi="Courier New" w:hint="default"/>
      </w:rPr>
    </w:lvl>
    <w:lvl w:ilvl="2" w:tplc="E378EFA8">
      <w:start w:val="1"/>
      <w:numFmt w:val="bullet"/>
      <w:lvlText w:val=""/>
      <w:lvlJc w:val="left"/>
      <w:pPr>
        <w:ind w:left="2160" w:hanging="360"/>
      </w:pPr>
      <w:rPr>
        <w:rFonts w:ascii="Wingdings" w:hAnsi="Wingdings" w:hint="default"/>
      </w:rPr>
    </w:lvl>
    <w:lvl w:ilvl="3" w:tplc="BE4CF2E8">
      <w:start w:val="1"/>
      <w:numFmt w:val="bullet"/>
      <w:lvlText w:val=""/>
      <w:lvlJc w:val="left"/>
      <w:pPr>
        <w:ind w:left="2880" w:hanging="360"/>
      </w:pPr>
      <w:rPr>
        <w:rFonts w:ascii="Symbol" w:hAnsi="Symbol" w:hint="default"/>
      </w:rPr>
    </w:lvl>
    <w:lvl w:ilvl="4" w:tplc="609A4C22">
      <w:start w:val="1"/>
      <w:numFmt w:val="bullet"/>
      <w:lvlText w:val="o"/>
      <w:lvlJc w:val="left"/>
      <w:pPr>
        <w:ind w:left="3600" w:hanging="360"/>
      </w:pPr>
      <w:rPr>
        <w:rFonts w:ascii="Courier New" w:hAnsi="Courier New" w:hint="default"/>
      </w:rPr>
    </w:lvl>
    <w:lvl w:ilvl="5" w:tplc="2F264B72">
      <w:start w:val="1"/>
      <w:numFmt w:val="bullet"/>
      <w:lvlText w:val=""/>
      <w:lvlJc w:val="left"/>
      <w:pPr>
        <w:ind w:left="4320" w:hanging="360"/>
      </w:pPr>
      <w:rPr>
        <w:rFonts w:ascii="Wingdings" w:hAnsi="Wingdings" w:hint="default"/>
      </w:rPr>
    </w:lvl>
    <w:lvl w:ilvl="6" w:tplc="EA58D51C">
      <w:start w:val="1"/>
      <w:numFmt w:val="bullet"/>
      <w:lvlText w:val=""/>
      <w:lvlJc w:val="left"/>
      <w:pPr>
        <w:ind w:left="5040" w:hanging="360"/>
      </w:pPr>
      <w:rPr>
        <w:rFonts w:ascii="Symbol" w:hAnsi="Symbol" w:hint="default"/>
      </w:rPr>
    </w:lvl>
    <w:lvl w:ilvl="7" w:tplc="142E6F08">
      <w:start w:val="1"/>
      <w:numFmt w:val="bullet"/>
      <w:lvlText w:val="o"/>
      <w:lvlJc w:val="left"/>
      <w:pPr>
        <w:ind w:left="5760" w:hanging="360"/>
      </w:pPr>
      <w:rPr>
        <w:rFonts w:ascii="Courier New" w:hAnsi="Courier New" w:hint="default"/>
      </w:rPr>
    </w:lvl>
    <w:lvl w:ilvl="8" w:tplc="016E0FD2">
      <w:start w:val="1"/>
      <w:numFmt w:val="bullet"/>
      <w:lvlText w:val=""/>
      <w:lvlJc w:val="left"/>
      <w:pPr>
        <w:ind w:left="6480" w:hanging="360"/>
      </w:pPr>
      <w:rPr>
        <w:rFonts w:ascii="Wingdings" w:hAnsi="Wingdings" w:hint="default"/>
      </w:rPr>
    </w:lvl>
  </w:abstractNum>
  <w:abstractNum w:abstractNumId="19" w15:restartNumberingAfterBreak="0">
    <w:nsid w:val="70382B92"/>
    <w:multiLevelType w:val="hybridMultilevel"/>
    <w:tmpl w:val="FFFFFFFF"/>
    <w:lvl w:ilvl="0" w:tplc="8F66D052">
      <w:start w:val="1"/>
      <w:numFmt w:val="bullet"/>
      <w:lvlText w:val=""/>
      <w:lvlJc w:val="left"/>
      <w:pPr>
        <w:ind w:left="720" w:hanging="360"/>
      </w:pPr>
      <w:rPr>
        <w:rFonts w:ascii="Symbol" w:hAnsi="Symbol" w:hint="default"/>
      </w:rPr>
    </w:lvl>
    <w:lvl w:ilvl="1" w:tplc="6622A942">
      <w:start w:val="1"/>
      <w:numFmt w:val="bullet"/>
      <w:lvlText w:val="o"/>
      <w:lvlJc w:val="left"/>
      <w:pPr>
        <w:ind w:left="1440" w:hanging="360"/>
      </w:pPr>
      <w:rPr>
        <w:rFonts w:ascii="Courier New" w:hAnsi="Courier New" w:hint="default"/>
      </w:rPr>
    </w:lvl>
    <w:lvl w:ilvl="2" w:tplc="CB9EF944">
      <w:start w:val="1"/>
      <w:numFmt w:val="bullet"/>
      <w:lvlText w:val=""/>
      <w:lvlJc w:val="left"/>
      <w:pPr>
        <w:ind w:left="2160" w:hanging="360"/>
      </w:pPr>
      <w:rPr>
        <w:rFonts w:ascii="Wingdings" w:hAnsi="Wingdings" w:hint="default"/>
      </w:rPr>
    </w:lvl>
    <w:lvl w:ilvl="3" w:tplc="389E7E50">
      <w:start w:val="1"/>
      <w:numFmt w:val="bullet"/>
      <w:lvlText w:val=""/>
      <w:lvlJc w:val="left"/>
      <w:pPr>
        <w:ind w:left="2880" w:hanging="360"/>
      </w:pPr>
      <w:rPr>
        <w:rFonts w:ascii="Symbol" w:hAnsi="Symbol" w:hint="default"/>
      </w:rPr>
    </w:lvl>
    <w:lvl w:ilvl="4" w:tplc="52307672">
      <w:start w:val="1"/>
      <w:numFmt w:val="bullet"/>
      <w:lvlText w:val="o"/>
      <w:lvlJc w:val="left"/>
      <w:pPr>
        <w:ind w:left="3600" w:hanging="360"/>
      </w:pPr>
      <w:rPr>
        <w:rFonts w:ascii="Courier New" w:hAnsi="Courier New" w:hint="default"/>
      </w:rPr>
    </w:lvl>
    <w:lvl w:ilvl="5" w:tplc="740212E0">
      <w:start w:val="1"/>
      <w:numFmt w:val="bullet"/>
      <w:lvlText w:val=""/>
      <w:lvlJc w:val="left"/>
      <w:pPr>
        <w:ind w:left="4320" w:hanging="360"/>
      </w:pPr>
      <w:rPr>
        <w:rFonts w:ascii="Wingdings" w:hAnsi="Wingdings" w:hint="default"/>
      </w:rPr>
    </w:lvl>
    <w:lvl w:ilvl="6" w:tplc="6032F56A">
      <w:start w:val="1"/>
      <w:numFmt w:val="bullet"/>
      <w:lvlText w:val=""/>
      <w:lvlJc w:val="left"/>
      <w:pPr>
        <w:ind w:left="5040" w:hanging="360"/>
      </w:pPr>
      <w:rPr>
        <w:rFonts w:ascii="Symbol" w:hAnsi="Symbol" w:hint="default"/>
      </w:rPr>
    </w:lvl>
    <w:lvl w:ilvl="7" w:tplc="A1F2471E">
      <w:start w:val="1"/>
      <w:numFmt w:val="bullet"/>
      <w:lvlText w:val="o"/>
      <w:lvlJc w:val="left"/>
      <w:pPr>
        <w:ind w:left="5760" w:hanging="360"/>
      </w:pPr>
      <w:rPr>
        <w:rFonts w:ascii="Courier New" w:hAnsi="Courier New" w:hint="default"/>
      </w:rPr>
    </w:lvl>
    <w:lvl w:ilvl="8" w:tplc="9A345DE2">
      <w:start w:val="1"/>
      <w:numFmt w:val="bullet"/>
      <w:lvlText w:val=""/>
      <w:lvlJc w:val="left"/>
      <w:pPr>
        <w:ind w:left="6480" w:hanging="360"/>
      </w:pPr>
      <w:rPr>
        <w:rFonts w:ascii="Wingdings" w:hAnsi="Wingdings" w:hint="default"/>
      </w:rPr>
    </w:lvl>
  </w:abstractNum>
  <w:abstractNum w:abstractNumId="20" w15:restartNumberingAfterBreak="0">
    <w:nsid w:val="70BE68EF"/>
    <w:multiLevelType w:val="multilevel"/>
    <w:tmpl w:val="B114F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FB116D"/>
    <w:multiLevelType w:val="hybridMultilevel"/>
    <w:tmpl w:val="BA3AC9E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146649E"/>
    <w:multiLevelType w:val="hybridMultilevel"/>
    <w:tmpl w:val="B2E0CCB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9316908"/>
    <w:multiLevelType w:val="hybridMultilevel"/>
    <w:tmpl w:val="FFFFFFFF"/>
    <w:lvl w:ilvl="0" w:tplc="007CDA32">
      <w:start w:val="1"/>
      <w:numFmt w:val="bullet"/>
      <w:lvlText w:val=""/>
      <w:lvlJc w:val="left"/>
      <w:pPr>
        <w:ind w:left="720" w:hanging="360"/>
      </w:pPr>
      <w:rPr>
        <w:rFonts w:ascii="Symbol" w:hAnsi="Symbol" w:hint="default"/>
      </w:rPr>
    </w:lvl>
    <w:lvl w:ilvl="1" w:tplc="3454F10A">
      <w:start w:val="1"/>
      <w:numFmt w:val="bullet"/>
      <w:lvlText w:val="o"/>
      <w:lvlJc w:val="left"/>
      <w:pPr>
        <w:ind w:left="1440" w:hanging="360"/>
      </w:pPr>
      <w:rPr>
        <w:rFonts w:ascii="Courier New" w:hAnsi="Courier New" w:hint="default"/>
      </w:rPr>
    </w:lvl>
    <w:lvl w:ilvl="2" w:tplc="8B944F8E">
      <w:start w:val="1"/>
      <w:numFmt w:val="bullet"/>
      <w:lvlText w:val=""/>
      <w:lvlJc w:val="left"/>
      <w:pPr>
        <w:ind w:left="2160" w:hanging="360"/>
      </w:pPr>
      <w:rPr>
        <w:rFonts w:ascii="Wingdings" w:hAnsi="Wingdings" w:hint="default"/>
      </w:rPr>
    </w:lvl>
    <w:lvl w:ilvl="3" w:tplc="5FACE02A">
      <w:start w:val="1"/>
      <w:numFmt w:val="bullet"/>
      <w:lvlText w:val=""/>
      <w:lvlJc w:val="left"/>
      <w:pPr>
        <w:ind w:left="2880" w:hanging="360"/>
      </w:pPr>
      <w:rPr>
        <w:rFonts w:ascii="Symbol" w:hAnsi="Symbol" w:hint="default"/>
      </w:rPr>
    </w:lvl>
    <w:lvl w:ilvl="4" w:tplc="62327198">
      <w:start w:val="1"/>
      <w:numFmt w:val="bullet"/>
      <w:lvlText w:val="o"/>
      <w:lvlJc w:val="left"/>
      <w:pPr>
        <w:ind w:left="3600" w:hanging="360"/>
      </w:pPr>
      <w:rPr>
        <w:rFonts w:ascii="Courier New" w:hAnsi="Courier New" w:hint="default"/>
      </w:rPr>
    </w:lvl>
    <w:lvl w:ilvl="5" w:tplc="34D8C1DC">
      <w:start w:val="1"/>
      <w:numFmt w:val="bullet"/>
      <w:lvlText w:val=""/>
      <w:lvlJc w:val="left"/>
      <w:pPr>
        <w:ind w:left="4320" w:hanging="360"/>
      </w:pPr>
      <w:rPr>
        <w:rFonts w:ascii="Wingdings" w:hAnsi="Wingdings" w:hint="default"/>
      </w:rPr>
    </w:lvl>
    <w:lvl w:ilvl="6" w:tplc="AAA86A22">
      <w:start w:val="1"/>
      <w:numFmt w:val="bullet"/>
      <w:lvlText w:val=""/>
      <w:lvlJc w:val="left"/>
      <w:pPr>
        <w:ind w:left="5040" w:hanging="360"/>
      </w:pPr>
      <w:rPr>
        <w:rFonts w:ascii="Symbol" w:hAnsi="Symbol" w:hint="default"/>
      </w:rPr>
    </w:lvl>
    <w:lvl w:ilvl="7" w:tplc="0C0EFA4E">
      <w:start w:val="1"/>
      <w:numFmt w:val="bullet"/>
      <w:lvlText w:val="o"/>
      <w:lvlJc w:val="left"/>
      <w:pPr>
        <w:ind w:left="5760" w:hanging="360"/>
      </w:pPr>
      <w:rPr>
        <w:rFonts w:ascii="Courier New" w:hAnsi="Courier New" w:hint="default"/>
      </w:rPr>
    </w:lvl>
    <w:lvl w:ilvl="8" w:tplc="3266B9A0">
      <w:start w:val="1"/>
      <w:numFmt w:val="bullet"/>
      <w:lvlText w:val=""/>
      <w:lvlJc w:val="left"/>
      <w:pPr>
        <w:ind w:left="6480" w:hanging="360"/>
      </w:pPr>
      <w:rPr>
        <w:rFonts w:ascii="Wingdings" w:hAnsi="Wingdings" w:hint="default"/>
      </w:rPr>
    </w:lvl>
  </w:abstractNum>
  <w:num w:numId="1" w16cid:durableId="437525885">
    <w:abstractNumId w:val="6"/>
  </w:num>
  <w:num w:numId="2" w16cid:durableId="166754122">
    <w:abstractNumId w:val="4"/>
  </w:num>
  <w:num w:numId="3" w16cid:durableId="9377830">
    <w:abstractNumId w:val="18"/>
  </w:num>
  <w:num w:numId="4" w16cid:durableId="700788955">
    <w:abstractNumId w:val="0"/>
  </w:num>
  <w:num w:numId="5" w16cid:durableId="1913612004">
    <w:abstractNumId w:val="3"/>
  </w:num>
  <w:num w:numId="6" w16cid:durableId="1745296991">
    <w:abstractNumId w:val="15"/>
  </w:num>
  <w:num w:numId="7" w16cid:durableId="1753356283">
    <w:abstractNumId w:val="19"/>
  </w:num>
  <w:num w:numId="8" w16cid:durableId="1496265889">
    <w:abstractNumId w:val="7"/>
  </w:num>
  <w:num w:numId="9" w16cid:durableId="1438788881">
    <w:abstractNumId w:val="23"/>
  </w:num>
  <w:num w:numId="10" w16cid:durableId="2109304486">
    <w:abstractNumId w:val="9"/>
  </w:num>
  <w:num w:numId="11" w16cid:durableId="1074668099">
    <w:abstractNumId w:val="10"/>
  </w:num>
  <w:num w:numId="12" w16cid:durableId="1680231396">
    <w:abstractNumId w:val="1"/>
  </w:num>
  <w:num w:numId="13" w16cid:durableId="12727467">
    <w:abstractNumId w:val="13"/>
  </w:num>
  <w:num w:numId="14" w16cid:durableId="1452095469">
    <w:abstractNumId w:val="5"/>
  </w:num>
  <w:num w:numId="15" w16cid:durableId="1529755935">
    <w:abstractNumId w:val="11"/>
  </w:num>
  <w:num w:numId="16" w16cid:durableId="292441744">
    <w:abstractNumId w:val="14"/>
  </w:num>
  <w:num w:numId="17" w16cid:durableId="656150517">
    <w:abstractNumId w:val="2"/>
  </w:num>
  <w:num w:numId="18" w16cid:durableId="44567456">
    <w:abstractNumId w:val="12"/>
  </w:num>
  <w:num w:numId="19" w16cid:durableId="283268033">
    <w:abstractNumId w:val="22"/>
  </w:num>
  <w:num w:numId="20" w16cid:durableId="1956330043">
    <w:abstractNumId w:val="16"/>
  </w:num>
  <w:num w:numId="21" w16cid:durableId="1516068921">
    <w:abstractNumId w:val="17"/>
    <w:lvlOverride w:ilvl="0">
      <w:startOverride w:val="1"/>
    </w:lvlOverride>
  </w:num>
  <w:num w:numId="22" w16cid:durableId="199250339">
    <w:abstractNumId w:val="20"/>
  </w:num>
  <w:num w:numId="23" w16cid:durableId="317342314">
    <w:abstractNumId w:val="8"/>
  </w:num>
  <w:num w:numId="24" w16cid:durableId="1654812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981"/>
    <w:rsid w:val="00530975"/>
    <w:rsid w:val="005B452D"/>
    <w:rsid w:val="009F1BA8"/>
    <w:rsid w:val="00A03B8D"/>
    <w:rsid w:val="00A05495"/>
    <w:rsid w:val="00A362CB"/>
    <w:rsid w:val="00B732F0"/>
    <w:rsid w:val="00B97D23"/>
    <w:rsid w:val="00C73C91"/>
    <w:rsid w:val="00D33F94"/>
    <w:rsid w:val="00ED1981"/>
    <w:rsid w:val="00FF4B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7C68FBE0"/>
  <w15:chartTrackingRefBased/>
  <w15:docId w15:val="{79678277-4188-4DFF-AF71-5B6FD7E3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52" w:lineRule="auto"/>
    </w:pPr>
    <w:rPr>
      <w:rFonts w:ascii="Times New Roman" w:hAnsi="Times New Roman"/>
      <w:color w:val="000000"/>
      <w:sz w:val="22"/>
    </w:rPr>
  </w:style>
  <w:style w:type="paragraph" w:styleId="Heading1">
    <w:name w:val="heading 1"/>
    <w:basedOn w:val="Normal"/>
    <w:next w:val="Normal"/>
    <w:link w:val="Heading1Char"/>
    <w:uiPriority w:val="9"/>
    <w:qFormat/>
    <w:rsid w:val="00ED1981"/>
    <w:pPr>
      <w:keepNext/>
      <w:keepLines/>
      <w:spacing w:before="240" w:after="140" w:line="252" w:lineRule="auto"/>
      <w:outlineLvl w:val="0"/>
    </w:pPr>
    <w:rPr>
      <w:rFonts w:asciiTheme="majorHAnsi" w:eastAsiaTheme="majorEastAsia" w:hAnsiTheme="majorHAnsi" w:cstheme="majorBidi" w:ascii="Times New Roman" w:hAnsi="Times New Roman"/>
      <w:b/>
      <w:color w:val="000000"/>
      <w:sz w:val="22"/>
      <w:szCs w:val="40"/>
    </w:rPr>
  </w:style>
  <w:style w:type="paragraph" w:styleId="Heading2">
    <w:name w:val="heading 2"/>
    <w:basedOn w:val="Normal"/>
    <w:next w:val="Normal"/>
    <w:link w:val="Heading2Char"/>
    <w:uiPriority w:val="9"/>
    <w:semiHidden/>
    <w:unhideWhenUsed/>
    <w:qFormat/>
    <w:rsid w:val="00ED1981"/>
    <w:pPr>
      <w:keepNext/>
      <w:keepLines/>
      <w:spacing w:before="240" w:after="140" w:line="252" w:lineRule="auto"/>
      <w:outlineLvl w:val="1"/>
    </w:pPr>
    <w:rPr>
      <w:rFonts w:asciiTheme="majorHAnsi" w:eastAsiaTheme="majorEastAsia" w:hAnsiTheme="majorHAnsi" w:cstheme="majorBidi" w:ascii="Times New Roman" w:hAnsi="Times New Roman"/>
      <w:b/>
      <w:color w:val="000000"/>
      <w:sz w:val="22"/>
      <w:szCs w:val="32"/>
    </w:rPr>
  </w:style>
  <w:style w:type="paragraph" w:styleId="Heading3">
    <w:name w:val="heading 3"/>
    <w:basedOn w:val="Normal"/>
    <w:next w:val="Normal"/>
    <w:link w:val="Heading3Char"/>
    <w:uiPriority w:val="9"/>
    <w:semiHidden/>
    <w:unhideWhenUsed/>
    <w:qFormat/>
    <w:rsid w:val="00ED19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9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19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1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9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9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9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19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1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981"/>
    <w:rPr>
      <w:rFonts w:eastAsiaTheme="majorEastAsia" w:cstheme="majorBidi"/>
      <w:color w:val="272727" w:themeColor="text1" w:themeTint="D8"/>
    </w:rPr>
  </w:style>
  <w:style w:type="paragraph" w:styleId="Title">
    <w:name w:val="Title"/>
    <w:basedOn w:val="Normal"/>
    <w:next w:val="Normal"/>
    <w:link w:val="TitleChar"/>
    <w:uiPriority w:val="10"/>
    <w:qFormat/>
    <w:rsid w:val="00ED1981"/>
    <w:pPr>
      <w:spacing w:after="140" w:line="252" w:lineRule="auto"/>
      <w:contextualSpacing/>
    </w:pPr>
    <w:rPr>
      <w:rFonts w:asciiTheme="majorHAnsi" w:eastAsiaTheme="majorEastAsia" w:hAnsiTheme="majorHAnsi" w:cstheme="majorBidi" w:ascii="Times New Roman" w:hAnsi="Times New Roman"/>
      <w:b/>
      <w:color w:val="000000"/>
      <w:spacing w:val="-10"/>
      <w:kern w:val="28"/>
      <w:sz w:val="44"/>
      <w:szCs w:val="56"/>
    </w:rPr>
  </w:style>
  <w:style w:type="character" w:customStyle="1" w:styleId="TitleChar">
    <w:name w:val="Title Char"/>
    <w:basedOn w:val="DefaultParagraphFont"/>
    <w:link w:val="Title"/>
    <w:uiPriority w:val="10"/>
    <w:rsid w:val="00ED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981"/>
    <w:pPr>
      <w:spacing w:before="160"/>
      <w:jc w:val="center"/>
    </w:pPr>
    <w:rPr>
      <w:i/>
      <w:iCs/>
      <w:color w:val="404040" w:themeColor="text1" w:themeTint="BF"/>
    </w:rPr>
  </w:style>
  <w:style w:type="character" w:customStyle="1" w:styleId="QuoteChar">
    <w:name w:val="Quote Char"/>
    <w:basedOn w:val="DefaultParagraphFont"/>
    <w:link w:val="Quote"/>
    <w:uiPriority w:val="29"/>
    <w:rsid w:val="00ED1981"/>
    <w:rPr>
      <w:i/>
      <w:iCs/>
      <w:color w:val="404040" w:themeColor="text1" w:themeTint="BF"/>
    </w:rPr>
  </w:style>
  <w:style w:type="paragraph" w:styleId="ListParagraph">
    <w:name w:val="List Paragraph"/>
    <w:basedOn w:val="Normal"/>
    <w:uiPriority w:val="34"/>
    <w:qFormat/>
    <w:rsid w:val="00ED1981"/>
    <w:pPr>
      <w:spacing w:after="140" w:line="252" w:lineRule="auto"/>
      <w:ind w:left="720"/>
      <w:contextualSpacing/>
    </w:pPr>
    <w:rPr>
      <w:rFonts w:ascii="Times New Roman" w:hAnsi="Times New Roman"/>
      <w:color w:val="000000"/>
      <w:sz w:val="22"/>
    </w:rPr>
  </w:style>
  <w:style w:type="character" w:styleId="IntenseEmphasis">
    <w:name w:val="Intense Emphasis"/>
    <w:basedOn w:val="DefaultParagraphFont"/>
    <w:uiPriority w:val="21"/>
    <w:qFormat/>
    <w:rsid w:val="00ED1981"/>
    <w:rPr>
      <w:i/>
      <w:iCs/>
      <w:color w:val="2F5496" w:themeColor="accent1" w:themeShade="BF"/>
    </w:rPr>
  </w:style>
  <w:style w:type="paragraph" w:styleId="IntenseQuote">
    <w:name w:val="Intense Quote"/>
    <w:basedOn w:val="Normal"/>
    <w:next w:val="Normal"/>
    <w:link w:val="IntenseQuoteChar"/>
    <w:uiPriority w:val="30"/>
    <w:qFormat/>
    <w:rsid w:val="00ED19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981"/>
    <w:rPr>
      <w:i/>
      <w:iCs/>
      <w:color w:val="2F5496" w:themeColor="accent1" w:themeShade="BF"/>
    </w:rPr>
  </w:style>
  <w:style w:type="character" w:styleId="IntenseReference">
    <w:name w:val="Intense Reference"/>
    <w:basedOn w:val="DefaultParagraphFont"/>
    <w:uiPriority w:val="32"/>
    <w:qFormat/>
    <w:rsid w:val="00ED1981"/>
    <w:rPr>
      <w:b/>
      <w:bCs/>
      <w:smallCaps/>
      <w:color w:val="2F5496" w:themeColor="accent1" w:themeShade="BF"/>
      <w:spacing w:val="5"/>
    </w:rPr>
  </w:style>
  <w:style w:type="character" w:styleId="Emphasis">
    <w:name w:val="Emphasis"/>
    <w:basedOn w:val="DefaultParagraphFont"/>
    <w:uiPriority w:val="20"/>
    <w:qFormat/>
    <w:rsid w:val="00ED1981"/>
    <w:rPr>
      <w:i/>
      <w:iCs/>
    </w:rPr>
  </w:style>
  <w:style w:type="table" w:styleId="TableGrid">
    <w:name w:val="Table Grid"/>
    <w:basedOn w:val="TableNormal"/>
    <w:uiPriority w:val="59"/>
    <w:rsid w:val="00ED1981"/>
    <w:pPr>
      <w:spacing w:after="0" w:line="240" w:lineRule="auto"/>
    </w:pPr>
    <w:rPr>
      <w:rFonts w:eastAsiaTheme="minorEastAsia"/>
      <w:kern w:val="0"/>
      <w:sz w:val="24"/>
      <w:szCs w:val="24"/>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D19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justice.gov.in/writereaddata/UploadFile/Magnitude_Substance_Use_India_REPORT.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user/cokestudio" TargetMode="External"/><Relationship Id="rId5" Type="http://schemas.openxmlformats.org/officeDocument/2006/relationships/image" Target="media/image1.png"/><Relationship Id="rId10" Type="http://schemas.openxmlformats.org/officeDocument/2006/relationships/hyperlink" Target="https://www.who.int/publications/i/item/9789240010529" TargetMode="External"/><Relationship Id="rId4" Type="http://schemas.openxmlformats.org/officeDocument/2006/relationships/webSettings" Target="webSettings.xml"/><Relationship Id="rId9" Type="http://schemas.openxmlformats.org/officeDocument/2006/relationships/hyperlink" Target="https://nida.nih.gov/publications/drugs-brains-behavior-science-addiction" TargetMode="External"/><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16877</Words>
  <Characters>98525</Characters>
  <Application>Microsoft Office Word</Application>
  <DocSecurity>0</DocSecurity>
  <Lines>821</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Sun Exposure and the Historical Under-Recognition of Skin Cancer Among Cricket Athletes (1880-2025)</dc:title>
  <dc:subject/>
  <dc:creator>Reeva Chopra</dc:creator>
  <cp:keywords/>
  <dc:description/>
  <cp:lastModifiedBy>Reeva Chopra</cp:lastModifiedBy>
  <cp:revision>2</cp:revision>
  <dcterms:created xsi:type="dcterms:W3CDTF">2025-10-24T13:52:00Z</dcterms:created>
  <dcterms:modified xsi:type="dcterms:W3CDTF">2025-10-24T13:52:00Z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065daa49-6a7c-4d11-8800-fc6049f2dd00</vt:lpwstr>
  </property>
</Properties>
</file>